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232473">
      <w:pPr>
        <w:ind w:right="-13"/>
        <w:jc w:val="center"/>
        <w:rPr>
          <w:b/>
          <w:szCs w:val="28"/>
        </w:rPr>
      </w:pPr>
      <w:r>
        <w:rPr>
          <w:b/>
          <w:szCs w:val="28"/>
        </w:rPr>
        <w:t>Mẫu 04-T</w:t>
      </w:r>
    </w:p>
    <w:p w14:paraId="0F90C758">
      <w:pPr>
        <w:spacing w:before="120"/>
        <w:jc w:val="center"/>
        <w:rPr>
          <w:sz w:val="27"/>
          <w:szCs w:val="27"/>
        </w:rPr>
      </w:pPr>
      <w:r>
        <w:rPr>
          <w:i/>
          <w:sz w:val="27"/>
          <w:szCs w:val="27"/>
        </w:rPr>
        <w:t>(Kèm theo Hướng dẫn số 06/HD-BCĐ ngày 22/4/2026 của Ban Chỉ đạo)</w:t>
      </w:r>
    </w:p>
    <w:p w14:paraId="2797FC14">
      <w:pPr>
        <w:ind w:right="-13"/>
        <w:jc w:val="center"/>
        <w:rPr>
          <w:b/>
          <w:sz w:val="26"/>
          <w:szCs w:val="26"/>
        </w:rPr>
      </w:pPr>
      <w:r>
        <w:rPr>
          <w:b/>
          <w:sz w:val="26"/>
          <w:szCs w:val="26"/>
          <w:lang w:val="en-ZW" w:eastAsia="ja-JP"/>
        </w:rPr>
        <mc:AlternateContent>
          <mc:Choice Requires="wps">
            <w:drawing>
              <wp:anchor distT="0" distB="0" distL="114300" distR="114300" simplePos="0" relativeHeight="251659264" behindDoc="0" locked="0" layoutInCell="1" allowOverlap="1">
                <wp:simplePos x="0" y="0"/>
                <wp:positionH relativeFrom="column">
                  <wp:posOffset>3699510</wp:posOffset>
                </wp:positionH>
                <wp:positionV relativeFrom="paragraph">
                  <wp:posOffset>53975</wp:posOffset>
                </wp:positionV>
                <wp:extent cx="1828800" cy="0"/>
                <wp:effectExtent l="13335" t="6350" r="5715" b="12700"/>
                <wp:wrapNone/>
                <wp:docPr id="1495822126" name="AutoShape 5"/>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straightConnector1">
                          <a:avLst/>
                        </a:prstGeom>
                        <a:noFill/>
                        <a:ln w="9525">
                          <a:solidFill>
                            <a:srgbClr val="000000"/>
                          </a:solidFill>
                          <a:round/>
                        </a:ln>
                      </wps:spPr>
                      <wps:bodyPr/>
                    </wps:wsp>
                  </a:graphicData>
                </a:graphic>
              </wp:anchor>
            </w:drawing>
          </mc:Choice>
          <mc:Fallback>
            <w:pict>
              <v:shape id="AutoShape 5" o:spid="_x0000_s1026" o:spt="32" type="#_x0000_t32" style="position:absolute;left:0pt;margin-left:291.3pt;margin-top:4.25pt;height:0pt;width:144pt;z-index:251659264;mso-width-relative:page;mso-height-relative:page;" filled="f" stroked="t" coordsize="21600,21600" o:gfxdata="UEsDBAoAAAAAAIdO4kAAAAAAAAAAAAAAAAAEAAAAZHJzL1BLAwQUAAAACACHTuJA21HxcNQAAAAH AQAADwAAAGRycy9kb3ducmV2LnhtbE2OwU7DMBBE70j9B2uRuCBqJ1JKCHGqCokDR9pKXN14SQLx OoqdpvTrWXopx6cZzbxyfXK9OOIYOk8akqUCgVR721GjYb97fchBhGjImt4TavjBAOtqcVOawvqZ 3vG4jY3gEQqF0dDGOBRShrpFZ8LSD0icffrRmcg4NtKOZuZx18tUqZV0piN+aM2ALy3W39vJacAw ZYnaPLlm/3ae7z/S89c87LS+u03UM4iIp3gtw58+q0PFTgc/kQ2i15Dl6YqrGvIMBOf5o2I+XFhW pfzvX/0CUEsDBBQAAAAIAIdO4kBxcbuq3AEAALsDAAAOAAAAZHJzL2Uyb0RvYy54bWytU8Fu2zAM vQ/YPwi6L46NpUiNOMWQoLt0W4B2H6DIsi1MEgVKiZO/HyUnWdddepgPgiiSj3yP9OrhZA07Kgwa XMPL2Zwz5SS02vUN//ny+GnJWYjCtcKAUw0/q8Af1h8/rEZfqwoGMK1CRiAu1KNv+BCjr4siyEFZ EWbglSNnB2hFJBP7okUxEro1RTWf3xUjYOsRpAqBXreTk18Q8T2A0HVaqi3Ig1UuTqiojIhEKQza B77O3XadkvFH1wUVmWk4MY35pCJ036ezWK9E3aPwg5aXFsR7WnjDyQrtqOgNaiuiYAfU/0BZLREC dHEmwRYTkawIsSjnb7R5HoRXmQtJHfxN9PD/YOX34w6ZbmkTPt8vllVVVnecOWFp8l8OEXILbJF0 Gn2oKXzjdpiYypN79k8gfwXmYDMI16sc/HL2lFumjOKvlGQET9X24zdoKUYQfhbt1KFNkCQHO+XZ nG+zUafIJD2Wy2q5nNPY5NVXiPqa6DHErwosS5eGh4hC90PcgHO0AYBlLiOOTyGmtkR9TUhVHTxq Y/IiGMfGht8vqkVOCGB0m5wpLGC/3xhkR5FWKX+ZI3lehyEcXDsVMe4iQWI96beH9rzDqzQ009zN Zf/S0ry2c/aff279G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AAAAABkcnMvUEsBAhQAFAAAAAgAh07iQNtR8XDUAAAABwEAAA8AAAAAAAAA AQAgAAAAIgAAAGRycy9kb3ducmV2LnhtbFBLAQIUABQAAAAIAIdO4kBxcbuq3AEAALsDAAAOAAAA AAAAAAEAIAAAACMBAABkcnMvZTJvRG9jLnhtbFBLBQYAAAAABgAGAFkBAABxBQAAAAA= ">
                <v:fill on="f" focussize="0,0"/>
                <v:stroke color="#000000" joinstyle="round"/>
                <v:imagedata o:title=""/>
                <o:lock v:ext="edit" aspectratio="f"/>
              </v:shape>
            </w:pict>
          </mc:Fallback>
        </mc:AlternateContent>
      </w:r>
    </w:p>
    <w:p w14:paraId="644A0591">
      <w:pPr>
        <w:widowControl w:val="0"/>
        <w:spacing w:before="120" w:after="120" w:line="360" w:lineRule="exact"/>
        <w:ind w:firstLine="567"/>
        <w:jc w:val="both"/>
        <w:rPr>
          <w:b/>
          <w:szCs w:val="28"/>
        </w:rPr>
      </w:pPr>
      <w:r>
        <w:rPr>
          <w:b/>
          <w:szCs w:val="28"/>
        </w:rPr>
        <w:t xml:space="preserve">Lưu ý: </w:t>
      </w:r>
    </w:p>
    <w:p w14:paraId="521E8111">
      <w:pPr>
        <w:widowControl w:val="0"/>
        <w:spacing w:before="120" w:after="120" w:line="360" w:lineRule="exact"/>
        <w:ind w:firstLine="567"/>
        <w:jc w:val="both"/>
        <w:rPr>
          <w:bCs/>
          <w:szCs w:val="28"/>
        </w:rPr>
      </w:pPr>
      <w:r>
        <w:rPr>
          <w:bCs/>
          <w:szCs w:val="28"/>
        </w:rPr>
        <w:t xml:space="preserve">- Các cơ quan đồng thời thực hiện xây dựng Báo cáo và tổng hợp kết quả tổng rà soát trên </w:t>
      </w:r>
      <w:r>
        <w:rPr>
          <w:bCs/>
        </w:rPr>
        <w:t>Phần mềm hỗ trợ kiểm tra, rà soát VBQPPL tại</w:t>
      </w:r>
      <w:r>
        <w:rPr>
          <w:bCs/>
          <w:lang w:val="vi-VN"/>
        </w:rPr>
        <w:t xml:space="preserve"> </w:t>
      </w:r>
      <w:r>
        <w:rPr>
          <w:bCs/>
          <w:szCs w:val="28"/>
        </w:rPr>
        <w:t xml:space="preserve">địa chỉ: </w:t>
      </w:r>
      <w:r>
        <w:rPr>
          <w:b/>
        </w:rPr>
        <w:t>https://kiemtrarasoat.moj.gov.vn</w:t>
      </w:r>
      <w:r>
        <w:rPr>
          <w:bCs/>
          <w:szCs w:val="28"/>
        </w:rPr>
        <w:t>.</w:t>
      </w:r>
    </w:p>
    <w:p w14:paraId="617D90AF">
      <w:pPr>
        <w:widowControl w:val="0"/>
        <w:spacing w:before="120" w:after="120" w:line="360" w:lineRule="exact"/>
        <w:ind w:firstLine="567"/>
        <w:jc w:val="both"/>
        <w:rPr>
          <w:bCs/>
          <w:color w:val="000000"/>
          <w:szCs w:val="28"/>
        </w:rPr>
      </w:pPr>
      <w:r>
        <w:rPr>
          <w:b/>
          <w:szCs w:val="28"/>
        </w:rPr>
        <w:t xml:space="preserve">- </w:t>
      </w:r>
      <w:r>
        <w:rPr>
          <w:bCs/>
          <w:szCs w:val="28"/>
        </w:rPr>
        <w:t>Các cơ quan thực hiện việc nhập kết quả rà soát vào các Phụ lục</w:t>
      </w:r>
      <w:r>
        <w:rPr>
          <w:b/>
          <w:szCs w:val="28"/>
        </w:rPr>
        <w:t xml:space="preserve"> </w:t>
      </w:r>
      <w:r>
        <w:rPr>
          <w:b/>
          <w:szCs w:val="28"/>
          <w:u w:val="single"/>
        </w:rPr>
        <w:t>theo hình thức trực tuyến</w:t>
      </w:r>
      <w:r>
        <w:rPr>
          <w:b/>
          <w:szCs w:val="28"/>
        </w:rPr>
        <w:t xml:space="preserve"> hoặc </w:t>
      </w:r>
      <w:r>
        <w:rPr>
          <w:b/>
          <w:szCs w:val="28"/>
          <w:u w:val="single"/>
        </w:rPr>
        <w:t xml:space="preserve">theo mẫu </w:t>
      </w:r>
      <w:r>
        <w:rPr>
          <w:b/>
          <w:i/>
          <w:iCs/>
          <w:szCs w:val="28"/>
          <w:u w:val="single"/>
        </w:rPr>
        <w:t>(định dạng file excel)</w:t>
      </w:r>
      <w:r>
        <w:rPr>
          <w:bCs/>
          <w:szCs w:val="28"/>
        </w:rPr>
        <w:t xml:space="preserve"> </w:t>
      </w:r>
      <w:r>
        <w:rPr>
          <w:b/>
          <w:szCs w:val="28"/>
        </w:rPr>
        <w:t>tải</w:t>
      </w:r>
      <w:r>
        <w:rPr>
          <w:b/>
          <w:szCs w:val="28"/>
          <w:lang w:val="vi-VN"/>
        </w:rPr>
        <w:t xml:space="preserve"> xuống</w:t>
      </w:r>
      <w:r>
        <w:rPr>
          <w:bCs/>
          <w:szCs w:val="28"/>
        </w:rPr>
        <w:t xml:space="preserve"> từ địa chỉ: </w:t>
      </w:r>
      <w:r>
        <w:rPr>
          <w:b/>
        </w:rPr>
        <w:t>https://kiemtrarasoat.moj.gov.vn.</w:t>
      </w:r>
    </w:p>
    <w:p w14:paraId="36BB918F">
      <w:pPr>
        <w:widowControl w:val="0"/>
        <w:spacing w:before="120" w:after="120" w:line="360" w:lineRule="exact"/>
        <w:ind w:firstLine="567"/>
        <w:jc w:val="both"/>
        <w:rPr>
          <w:b/>
          <w:szCs w:val="28"/>
        </w:rPr>
      </w:pPr>
      <w:r>
        <w:rPr>
          <w:bCs/>
          <w:color w:val="000000"/>
          <w:szCs w:val="28"/>
        </w:rPr>
        <w:t xml:space="preserve"> - Sau khi kết quả tổng rà soát được đưa lên Phần mềm hỗ trợ kiểm tra, rà soát VBQPPL, các cơ quan trích xuất Phụ lục (định dạng file word) như mẫu dưới đây để đính kèm Báo cáo gửi về Bộ Tư pháp.</w:t>
      </w:r>
    </w:p>
    <w:p w14:paraId="270B7386">
      <w:pPr>
        <w:ind w:right="-13"/>
        <w:jc w:val="center"/>
        <w:rPr>
          <w:b/>
          <w:sz w:val="26"/>
          <w:szCs w:val="26"/>
        </w:rPr>
      </w:pPr>
      <w:r>
        <w:rPr>
          <w:b/>
          <w:sz w:val="26"/>
          <w:szCs w:val="26"/>
        </w:rPr>
        <w:t>Phụ lục II</w:t>
      </w:r>
    </w:p>
    <w:p w14:paraId="3117A4F6">
      <w:pPr>
        <w:ind w:right="-13"/>
        <w:jc w:val="center"/>
        <w:rPr>
          <w:b/>
          <w:sz w:val="26"/>
          <w:szCs w:val="26"/>
        </w:rPr>
      </w:pPr>
      <w:r>
        <w:rPr>
          <w:b/>
          <w:sz w:val="26"/>
          <w:szCs w:val="26"/>
        </w:rPr>
        <w:t>DANH MỤC</w:t>
      </w:r>
    </w:p>
    <w:p w14:paraId="40F5C2BD">
      <w:pPr>
        <w:shd w:val="clear" w:color="auto" w:fill="FFFFFF"/>
        <w:jc w:val="center"/>
        <w:rPr>
          <w:color w:val="000000"/>
          <w:szCs w:val="28"/>
        </w:rPr>
      </w:pPr>
      <w:r>
        <w:rPr>
          <w:b/>
          <w:bCs/>
          <w:szCs w:val="28"/>
        </w:rPr>
        <w:t xml:space="preserve">Văn bản quy phạm pháp luật của HĐND, UBND, Chủ tịch UBND cấp tỉnh đề xuất sửa đổi, bổ sung; </w:t>
        <w:br/>
        <w:t>thay thế; tạm ngưng hiệu lực, bãi bỏ một phần</w:t>
      </w:r>
    </w:p>
    <w:p w14:paraId="13E6C665">
      <w:pPr>
        <w:tabs>
          <w:tab w:val="right" w:leader="dot" w:pos="6804"/>
        </w:tabs>
        <w:jc w:val="center"/>
        <w:rPr>
          <w:b/>
          <w:sz w:val="26"/>
          <w:szCs w:val="26"/>
          <w:vertAlign w:val="superscript"/>
        </w:rPr>
      </w:pPr>
      <w:bookmarkStart w:id="0" w:name="_Hlk227595043"/>
      <w:r>
        <w:rPr>
          <w:b/>
          <w:sz w:val="26"/>
          <w:szCs w:val="26"/>
        </w:rPr>
        <w:t>Cơ quan rà soát: Sở Tài chính</w:t>
      </w:r>
    </w:p>
    <w:p w14:paraId="7CD7B812">
      <w:pPr>
        <w:jc w:val="center"/>
        <w:rPr>
          <w:bCs/>
          <w:i/>
          <w:iCs/>
          <w:sz w:val="26"/>
          <w:szCs w:val="26"/>
        </w:rPr>
      </w:pPr>
      <w:r>
        <w:rPr>
          <w:bCs/>
          <w:sz w:val="26"/>
          <w:szCs w:val="26"/>
          <w:lang w:val="en-ZW" w:eastAsia="ja-JP"/>
        </w:rPr>
        <w:t>(Kèm theo Báo cáo số: ......... ngày ......... của Sở Tài chính)</w:t>
      </w:r>
    </w:p>
    <w:bookmarkEnd w:id="0"/>
    <w:p w14:paraId="672A6659">
      <w:pPr>
        <w:jc w:val="center"/>
        <w:rPr>
          <w:bCs/>
          <w:i/>
          <w:iCs/>
          <w:sz w:val="26"/>
          <w:szCs w:val="26"/>
        </w:rPr>
      </w:pPr>
    </w:p>
    <w:tbl>
      <w:tblPr>
        <w:tblStyle w:val="4"/>
        <w:tblpPr w:leftFromText="180" w:rightFromText="180" w:vertAnchor="text" w:tblpXSpec="center" w:tblpY="1"/>
        <w:tblOverlap w:val="never"/>
        <w:tblW w:w="152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848"/>
        <w:gridCol w:w="2121"/>
        <w:gridCol w:w="4003"/>
        <w:gridCol w:w="1417"/>
        <w:gridCol w:w="1275"/>
        <w:gridCol w:w="1904"/>
        <w:gridCol w:w="1710"/>
      </w:tblGrid>
      <w:tr w14:paraId="69249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blHeader/>
        </w:trPr>
        <w:tc>
          <w:tcPr>
            <w:tcW w:w="959" w:type="dxa"/>
            <w:shd w:val="clear" w:color="auto" w:fill="F7CAAC" w:themeFill="accent2" w:themeFillTint="66"/>
            <w:vAlign w:val="center"/>
          </w:tcPr>
          <w:p w14:paraId="1164CDE7">
            <w:pPr>
              <w:jc w:val="center"/>
              <w:rPr>
                <w:b/>
                <w:bCs/>
                <w:iCs/>
                <w:sz w:val="24"/>
              </w:rPr>
            </w:pPr>
            <w:r>
              <w:rPr>
                <w:b/>
                <w:bCs/>
                <w:iCs/>
                <w:sz w:val="24"/>
              </w:rPr>
              <w:t>STT</w:t>
            </w:r>
          </w:p>
        </w:tc>
        <w:tc>
          <w:tcPr>
            <w:tcW w:w="1848" w:type="dxa"/>
            <w:shd w:val="clear" w:color="auto" w:fill="F7CAAC" w:themeFill="accent2" w:themeFillTint="66"/>
            <w:vAlign w:val="center"/>
          </w:tcPr>
          <w:p w14:paraId="676F067B">
            <w:pPr>
              <w:jc w:val="center"/>
              <w:rPr>
                <w:b/>
                <w:bCs/>
                <w:iCs/>
                <w:sz w:val="24"/>
              </w:rPr>
            </w:pPr>
            <w:r>
              <w:rPr>
                <w:b/>
                <w:bCs/>
                <w:iCs/>
                <w:sz w:val="24"/>
              </w:rPr>
              <w:t>Tên VB được rà soát</w:t>
            </w:r>
          </w:p>
        </w:tc>
        <w:tc>
          <w:tcPr>
            <w:tcW w:w="2121" w:type="dxa"/>
            <w:shd w:val="clear" w:color="auto" w:fill="F7CAAC" w:themeFill="accent2" w:themeFillTint="66"/>
            <w:vAlign w:val="center"/>
          </w:tcPr>
          <w:p w14:paraId="69973DED">
            <w:pPr>
              <w:jc w:val="center"/>
              <w:rPr>
                <w:b/>
                <w:bCs/>
                <w:iCs/>
                <w:sz w:val="24"/>
              </w:rPr>
            </w:pPr>
            <w:r>
              <w:rPr>
                <w:b/>
                <w:bCs/>
                <w:iCs/>
                <w:sz w:val="24"/>
              </w:rPr>
              <w:t>Căn cứ rà soát</w:t>
            </w:r>
          </w:p>
        </w:tc>
        <w:tc>
          <w:tcPr>
            <w:tcW w:w="4003" w:type="dxa"/>
            <w:shd w:val="clear" w:color="auto" w:fill="F7CAAC" w:themeFill="accent2" w:themeFillTint="66"/>
            <w:vAlign w:val="center"/>
          </w:tcPr>
          <w:p w14:paraId="50ABCA91">
            <w:pPr>
              <w:jc w:val="center"/>
              <w:rPr>
                <w:b/>
                <w:bCs/>
                <w:sz w:val="24"/>
              </w:rPr>
            </w:pPr>
            <w:r>
              <w:rPr>
                <w:b/>
                <w:bCs/>
                <w:sz w:val="24"/>
              </w:rPr>
              <w:t>Phân tích các nội dung, quy định cần xử lý của VB được rà soát</w:t>
            </w:r>
          </w:p>
        </w:tc>
        <w:tc>
          <w:tcPr>
            <w:tcW w:w="1417" w:type="dxa"/>
            <w:shd w:val="clear" w:color="auto" w:fill="F7CAAC" w:themeFill="accent2" w:themeFillTint="66"/>
            <w:vAlign w:val="center"/>
          </w:tcPr>
          <w:p w14:paraId="12D4EC16">
            <w:pPr>
              <w:jc w:val="center"/>
              <w:rPr>
                <w:b/>
                <w:bCs/>
                <w:sz w:val="24"/>
              </w:rPr>
            </w:pPr>
            <w:r>
              <w:rPr>
                <w:b/>
                <w:bCs/>
                <w:sz w:val="24"/>
              </w:rPr>
              <w:t>Hình thức xử lý VB được rà soát</w:t>
            </w:r>
          </w:p>
        </w:tc>
        <w:tc>
          <w:tcPr>
            <w:tcW w:w="1275" w:type="dxa"/>
            <w:shd w:val="clear" w:color="auto" w:fill="F7CAAC" w:themeFill="accent2" w:themeFillTint="66"/>
            <w:vAlign w:val="center"/>
          </w:tcPr>
          <w:p w14:paraId="2792DF0B">
            <w:pPr>
              <w:jc w:val="center"/>
              <w:rPr>
                <w:b/>
                <w:bCs/>
                <w:iCs/>
                <w:sz w:val="24"/>
              </w:rPr>
            </w:pPr>
            <w:r>
              <w:rPr>
                <w:b/>
                <w:bCs/>
                <w:iCs/>
                <w:sz w:val="24"/>
              </w:rPr>
              <w:t>Lộ trình</w:t>
            </w:r>
          </w:p>
          <w:p w14:paraId="249EC498">
            <w:pPr>
              <w:jc w:val="center"/>
              <w:rPr>
                <w:b/>
                <w:bCs/>
                <w:iCs/>
                <w:sz w:val="24"/>
              </w:rPr>
            </w:pPr>
            <w:r>
              <w:rPr>
                <w:b/>
                <w:bCs/>
                <w:iCs/>
                <w:sz w:val="24"/>
              </w:rPr>
              <w:t>xử lý</w:t>
            </w:r>
          </w:p>
        </w:tc>
        <w:tc>
          <w:tcPr>
            <w:tcW w:w="1904" w:type="dxa"/>
            <w:shd w:val="clear" w:color="auto" w:fill="F7CAAC" w:themeFill="accent2" w:themeFillTint="66"/>
            <w:vAlign w:val="center"/>
          </w:tcPr>
          <w:p w14:paraId="1F5ED40C">
            <w:pPr>
              <w:jc w:val="center"/>
              <w:rPr>
                <w:b/>
                <w:bCs/>
                <w:iCs/>
                <w:sz w:val="24"/>
              </w:rPr>
            </w:pPr>
            <w:r>
              <w:rPr>
                <w:b/>
                <w:bCs/>
                <w:iCs/>
                <w:sz w:val="24"/>
              </w:rPr>
              <w:t>Tiêu chí rà soát</w:t>
            </w:r>
          </w:p>
        </w:tc>
        <w:tc>
          <w:tcPr>
            <w:tcW w:w="1710" w:type="dxa"/>
            <w:shd w:val="clear" w:color="auto" w:fill="F7CAAC" w:themeFill="accent2" w:themeFillTint="66"/>
            <w:vAlign w:val="center"/>
          </w:tcPr>
          <w:p w14:paraId="5A23D288">
            <w:pPr>
              <w:jc w:val="center"/>
              <w:rPr>
                <w:b/>
                <w:bCs/>
                <w:iCs/>
                <w:sz w:val="24"/>
              </w:rPr>
            </w:pPr>
            <w:r>
              <w:rPr>
                <w:b/>
                <w:bCs/>
                <w:iCs/>
                <w:sz w:val="24"/>
              </w:rPr>
              <w:t>Ghi chú</w:t>
            </w:r>
          </w:p>
        </w:tc>
      </w:tr>
      <w:tr w14:paraId="7448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59" w:type="dxa"/>
            <w:shd w:val="clear" w:color="auto" w:fill="F7CAAC" w:themeFill="accent2" w:themeFillTint="66"/>
          </w:tcPr>
          <w:p w14:paraId="0FABD395">
            <w:pPr>
              <w:jc w:val="center"/>
              <w:rPr>
                <w:b/>
                <w:bCs/>
                <w:iCs/>
                <w:sz w:val="24"/>
              </w:rPr>
            </w:pPr>
            <w:r>
              <w:rPr>
                <w:b/>
                <w:bCs/>
                <w:iCs/>
                <w:sz w:val="24"/>
              </w:rPr>
              <w:t>(1)</w:t>
            </w:r>
          </w:p>
        </w:tc>
        <w:tc>
          <w:tcPr>
            <w:tcW w:w="1848" w:type="dxa"/>
            <w:shd w:val="clear" w:color="auto" w:fill="F7CAAC" w:themeFill="accent2" w:themeFillTint="66"/>
          </w:tcPr>
          <w:p w14:paraId="724357B1">
            <w:pPr>
              <w:jc w:val="center"/>
              <w:rPr>
                <w:b/>
                <w:bCs/>
                <w:iCs/>
                <w:sz w:val="24"/>
              </w:rPr>
            </w:pPr>
            <w:r>
              <w:rPr>
                <w:b/>
                <w:bCs/>
                <w:iCs/>
                <w:sz w:val="24"/>
              </w:rPr>
              <w:t>(2)</w:t>
            </w:r>
          </w:p>
        </w:tc>
        <w:tc>
          <w:tcPr>
            <w:tcW w:w="2121" w:type="dxa"/>
            <w:shd w:val="clear" w:color="auto" w:fill="F7CAAC" w:themeFill="accent2" w:themeFillTint="66"/>
          </w:tcPr>
          <w:p w14:paraId="35DDE7AE">
            <w:pPr>
              <w:jc w:val="center"/>
              <w:rPr>
                <w:b/>
                <w:bCs/>
                <w:iCs/>
                <w:sz w:val="24"/>
              </w:rPr>
            </w:pPr>
            <w:r>
              <w:rPr>
                <w:b/>
                <w:bCs/>
                <w:iCs/>
                <w:sz w:val="24"/>
              </w:rPr>
              <w:t>(3)</w:t>
            </w:r>
          </w:p>
        </w:tc>
        <w:tc>
          <w:tcPr>
            <w:tcW w:w="4003" w:type="dxa"/>
            <w:shd w:val="clear" w:color="auto" w:fill="F7CAAC" w:themeFill="accent2" w:themeFillTint="66"/>
          </w:tcPr>
          <w:p w14:paraId="679858F2">
            <w:pPr>
              <w:jc w:val="center"/>
              <w:rPr>
                <w:b/>
                <w:bCs/>
                <w:iCs/>
                <w:sz w:val="24"/>
              </w:rPr>
            </w:pPr>
            <w:r>
              <w:rPr>
                <w:b/>
                <w:bCs/>
                <w:iCs/>
                <w:sz w:val="24"/>
              </w:rPr>
              <w:t>(4)</w:t>
            </w:r>
          </w:p>
        </w:tc>
        <w:tc>
          <w:tcPr>
            <w:tcW w:w="1417" w:type="dxa"/>
            <w:shd w:val="clear" w:color="auto" w:fill="F7CAAC" w:themeFill="accent2" w:themeFillTint="66"/>
          </w:tcPr>
          <w:p w14:paraId="40D71ED4">
            <w:pPr>
              <w:jc w:val="center"/>
              <w:rPr>
                <w:b/>
                <w:bCs/>
                <w:iCs/>
                <w:sz w:val="24"/>
              </w:rPr>
            </w:pPr>
            <w:r>
              <w:rPr>
                <w:b/>
                <w:bCs/>
                <w:iCs/>
                <w:sz w:val="24"/>
              </w:rPr>
              <w:t>(5)</w:t>
            </w:r>
          </w:p>
        </w:tc>
        <w:tc>
          <w:tcPr>
            <w:tcW w:w="1275" w:type="dxa"/>
            <w:shd w:val="clear" w:color="auto" w:fill="F7CAAC" w:themeFill="accent2" w:themeFillTint="66"/>
          </w:tcPr>
          <w:p w14:paraId="449C1992">
            <w:pPr>
              <w:jc w:val="center"/>
              <w:rPr>
                <w:b/>
                <w:bCs/>
                <w:iCs/>
                <w:sz w:val="24"/>
              </w:rPr>
            </w:pPr>
            <w:r>
              <w:rPr>
                <w:b/>
                <w:bCs/>
                <w:iCs/>
                <w:sz w:val="24"/>
              </w:rPr>
              <w:t>(6)</w:t>
            </w:r>
          </w:p>
        </w:tc>
        <w:tc>
          <w:tcPr>
            <w:tcW w:w="1904" w:type="dxa"/>
            <w:shd w:val="clear" w:color="auto" w:fill="F7CAAC" w:themeFill="accent2" w:themeFillTint="66"/>
          </w:tcPr>
          <w:p w14:paraId="573EE86A">
            <w:pPr>
              <w:jc w:val="center"/>
              <w:rPr>
                <w:b/>
                <w:bCs/>
                <w:iCs/>
                <w:sz w:val="24"/>
              </w:rPr>
            </w:pPr>
            <w:r>
              <w:rPr>
                <w:b/>
                <w:bCs/>
                <w:iCs/>
                <w:sz w:val="24"/>
              </w:rPr>
              <w:t>(7)</w:t>
            </w:r>
          </w:p>
        </w:tc>
        <w:tc>
          <w:tcPr>
            <w:tcW w:w="1710" w:type="dxa"/>
            <w:shd w:val="clear" w:color="auto" w:fill="F7CAAC" w:themeFill="accent2" w:themeFillTint="66"/>
          </w:tcPr>
          <w:p w14:paraId="7F11F111">
            <w:pPr>
              <w:jc w:val="center"/>
              <w:rPr>
                <w:b/>
                <w:bCs/>
                <w:iCs/>
                <w:sz w:val="24"/>
              </w:rPr>
            </w:pPr>
            <w:r>
              <w:rPr>
                <w:b/>
                <w:bCs/>
                <w:iCs/>
                <w:sz w:val="24"/>
              </w:rPr>
              <w:t>(8)</w:t>
            </w:r>
          </w:p>
        </w:tc>
      </w:tr>
      <w:tr>
        <w:trPr>
          <w:trHeight w:val="315" w:hRule="atLeast"/>
        </w:trPr>
        <w:tc>
          <w:tcPr>
            <w:tcW w:w="15237" w:type="dxa"/>
            <w:gridSpan w:val="8"/>
            <w:vAlign w:val="center"/>
          </w:tcPr>
          <w:p>
            <w:pPr>
              <w:ind w:left="1080"/>
              <w:jc w:val="center"/>
              <w:rPr>
                <w:b/>
                <w:sz w:val="26"/>
                <w:szCs w:val="26"/>
              </w:rPr>
            </w:pPr>
            <w:r>
              <w:rPr>
                <w:b/>
                <w:sz w:val="26"/>
                <w:szCs w:val="26"/>
              </w:rPr>
              <w:t>I. TÀI CHÍNH</w:t>
            </w:r>
          </w:p>
        </w:tc>
      </w:tr>
      <w:tr>
        <w:tc>
          <w:tcPr>
            <w:tcW w:w="959" w:type="dxa"/>
            <w:vAlign w:val="center"/>
          </w:tcPr>
          <w:p>
            <w:pPr>
              <w:jc w:val="center"/>
              <w:rPr>
                <w:bCs/>
                <w:iCs/>
                <w:sz w:val="26"/>
                <w:szCs w:val="26"/>
              </w:rPr>
            </w:pPr>
            <w:r>
              <w:rPr>
                <w:bCs/>
                <w:iCs/>
                <w:sz w:val="26"/>
                <w:szCs w:val="26"/>
              </w:rPr>
              <w:t>1.</w:t>
            </w:r>
          </w:p>
        </w:tc>
        <w:tc>
          <w:tcPr>
            <w:tcW w:w="1848" w:type="dxa"/>
            <w:vAlign w:val="center"/>
          </w:tcPr>
          <w:p>
            <w:pPr>
              <w:jc w:val="both"/>
              <w:rPr>
                <w:bCs/>
                <w:iCs/>
                <w:sz w:val="26"/>
                <w:szCs w:val="26"/>
              </w:rPr>
            </w:pPr>
            <w:r>
              <w:rPr>
                <w:bCs/>
                <w:iCs/>
                <w:sz w:val="26"/>
                <w:szCs w:val="26"/>
              </w:rPr>
              <w:t>Nghị quyết số 09/2017/NQ-HĐND ngày 07/07/2017 của HĐND tỉnh Khánh Hòa (cũ) Quy định chế độ bồi dưỡng đối với ngườiquy định chế độ bồi dưỡng đối với người làm nhiệm vụ tiếp công dân, đơn thư khiếu nại, tố cáo, kiến nghị, phản ánh trên địa bàn tỉnh Khánh Hòa (trước sáp nhập) làm nhiệm vụ tiếp công dân, đơn thư khiếu nại, tố cáo, kiến nghị, phản ánh trên địa bàn tỉnh Khánh Hòa (trước sáp nhập)</w:t>
            </w:r>
          </w:p>
        </w:tc>
        <w:tc>
          <w:tcPr>
            <w:tcW w:w="2121" w:type="dxa"/>
            <w:vAlign w:val="center"/>
          </w:tcPr>
          <w:p>
            <w:pPr>
              <w:jc w:val="both"/>
              <w:rPr>
                <w:bCs/>
                <w:iCs/>
                <w:sz w:val="26"/>
                <w:szCs w:val="26"/>
              </w:rPr>
            </w:pPr>
            <w:r>
              <w:rPr>
                <w:bCs/>
                <w:iCs/>
                <w:sz w:val="26"/>
                <w:szCs w:val="26"/>
              </w:rPr>
              <w:t>Thông tư 65/2026/TT-BTC ngày 11/9/2026 của Bộ trưởng Bộ Tài chính sửa đổi, bổ sung một số điều của Thông tư số 320/2016/TT-BTC của Bộ trưởng Bộ Tài chính quy định chế độ bồi dưỡng đối với người làm nhiệm vụ tiếp công dân, xử lý đơn khiếu nại, tố cáo, kiến nghị, phản ánh.</w:t>
            </w:r>
          </w:p>
        </w:tc>
        <w:tc>
          <w:tcPr>
            <w:tcW w:w="4003" w:type="dxa"/>
            <w:vAlign w:val="center"/>
          </w:tcPr>
          <w:p>
            <w:pPr>
              <w:jc w:val="both"/>
              <w:rPr>
                <w:bCs/>
                <w:iCs/>
                <w:sz w:val="26"/>
                <w:szCs w:val="26"/>
              </w:rPr>
            </w:pPr>
            <w:r>
              <w:rPr>
                <w:bCs/>
                <w:iCs/>
                <w:sz w:val="26"/>
                <w:szCs w:val="26"/>
              </w:rPr>
              <w:t>Thông tư 65/2026/TT-BTC ngày 11/9/2026 của Bộ trưởng Bộ Tài chính sửa đổi, bổ sung một số điều của Thông tư số 320/2016/TT-BTC của Bộ trưởng Bộ Tài chính quy định chế độ bồi dưỡng đối với người làm nhiệm vụ tiếp công dân, xử lý đơn khiếu nại, tố cáo, kiến nghị, phản ánh. Vì vậy cần ban hành Nghị quyết chung thay thế Nghị quyết số 09/2017/NQ-HĐND và Nghị quyết số 14/2017/NQ-HĐND</w:t>
            </w:r>
          </w:p>
        </w:tc>
        <w:tc>
          <w:tcPr>
            <w:tcW w:w="1417" w:type="dxa"/>
            <w:vAlign w:val="center"/>
          </w:tcPr>
          <w:p>
            <w:pPr>
              <w:jc w:val="both"/>
              <w:rPr>
                <w:bCs/>
                <w:iCs/>
                <w:sz w:val="26"/>
                <w:szCs w:val="26"/>
              </w:rPr>
            </w:pPr>
            <w:r>
              <w:rPr>
                <w:bCs/>
                <w:iCs/>
                <w:sz w:val="26"/>
                <w:szCs w:val="26"/>
              </w:rPr>
              <w:t>Thay thế</w:t>
            </w:r>
          </w:p>
        </w:tc>
        <w:tc>
          <w:tcPr>
            <w:tcW w:w="1275" w:type="dxa"/>
            <w:vAlign w:val="center"/>
          </w:tcPr>
          <w:p>
            <w:pPr>
              <w:jc w:val="both"/>
              <w:rPr>
                <w:bCs/>
                <w:iCs/>
                <w:sz w:val="26"/>
                <w:szCs w:val="26"/>
              </w:rPr>
            </w:pPr>
            <w:r>
              <w:rPr>
                <w:bCs/>
                <w:iCs/>
                <w:sz w:val="26"/>
                <w:szCs w:val="26"/>
              </w:rPr>
              <w:t>2026</w:t>
            </w:r>
          </w:p>
        </w:tc>
        <w:tc>
          <w:tcPr>
            <w:tcW w:w="1904" w:type="dxa"/>
            <w:vAlign w:val="center"/>
          </w:tcPr>
          <w:p>
            <w:pPr>
              <w:jc w:val="both"/>
              <w:rPr>
                <w:bCs/>
                <w:iCs/>
                <w:sz w:val="26"/>
                <w:szCs w:val="26"/>
              </w:rPr>
            </w:pPr>
            <w:r>
              <w:rPr>
                <w:bCs/>
                <w:iCs/>
                <w:sz w:val="26"/>
                <w:szCs w:val="26"/>
              </w:rPr>
              <w:t xml:space="preserve">Tiêu chí 2.3 </w:t>
            </w:r>
          </w:p>
        </w:tc>
        <w:tc>
          <w:tcPr>
            <w:tcW w:w="1710" w:type="dxa"/>
            <w:vAlign w:val="center"/>
          </w:tcPr>
          <w:p>
            <w:pPr>
              <w:jc w:val="both"/>
              <w:rPr>
                <w:bCs/>
                <w:iCs/>
                <w:sz w:val="26"/>
                <w:szCs w:val="26"/>
              </w:rPr>
            </w:pPr>
            <w:r>
              <w:rPr>
                <w:bCs/>
                <w:iCs/>
                <w:sz w:val="26"/>
                <w:szCs w:val="26"/>
              </w:rPr>
              <w:t/>
            </w:r>
          </w:p>
        </w:tc>
      </w:tr>
      <w:tr>
        <w:tc>
          <w:tcPr>
            <w:tcW w:w="959" w:type="dxa"/>
            <w:vAlign w:val="center"/>
          </w:tcPr>
          <w:p>
            <w:pPr>
              <w:jc w:val="center"/>
              <w:rPr>
                <w:bCs/>
                <w:iCs/>
                <w:sz w:val="26"/>
                <w:szCs w:val="26"/>
              </w:rPr>
            </w:pPr>
            <w:r>
              <w:rPr>
                <w:bCs/>
                <w:iCs/>
                <w:sz w:val="26"/>
                <w:szCs w:val="26"/>
              </w:rPr>
              <w:t>2.</w:t>
            </w:r>
          </w:p>
        </w:tc>
        <w:tc>
          <w:tcPr>
            <w:tcW w:w="1848" w:type="dxa"/>
            <w:vAlign w:val="center"/>
          </w:tcPr>
          <w:p>
            <w:pPr>
              <w:jc w:val="both"/>
              <w:rPr>
                <w:bCs/>
                <w:iCs/>
                <w:sz w:val="26"/>
                <w:szCs w:val="26"/>
              </w:rPr>
            </w:pPr>
            <w:r>
              <w:rPr>
                <w:bCs/>
                <w:iCs/>
                <w:sz w:val="26"/>
                <w:szCs w:val="26"/>
              </w:rPr>
              <w:t>Nghị quyết số 14/2017/NQ-HĐND ngày 17/07/2017 của HĐND tỉnh Ninh Thuận (trước sáp nhập) Quy định chế độ bồi dưỡng đối với người làm nhiệm vụ tiếp công dân, xử lý đơn khiếu nại, tố cáo, kiến nghị, phản ánh trên địa bàn tỉnh Ninh Thuận</w:t>
            </w:r>
          </w:p>
        </w:tc>
        <w:tc>
          <w:tcPr>
            <w:tcW w:w="2121" w:type="dxa"/>
            <w:vAlign w:val="center"/>
          </w:tcPr>
          <w:p>
            <w:pPr>
              <w:jc w:val="both"/>
              <w:rPr>
                <w:bCs/>
                <w:iCs/>
                <w:sz w:val="26"/>
                <w:szCs w:val="26"/>
              </w:rPr>
            </w:pPr>
            <w:r>
              <w:rPr>
                <w:bCs/>
                <w:iCs/>
                <w:sz w:val="26"/>
                <w:szCs w:val="26"/>
              </w:rPr>
              <w:t>Thông tư 65/2026/TT-BTC ngày 11/9/2026 của Bộ trưởng Bộ Tài chính sửa đổi, bổ sung một số điều của Thông tư số 320/2016/TT-BTC của Bộ trưởng Bộ Tài chính quy định chế độ bồi dưỡng đối với người làm nhiệm vụ tiếp công dân, xử lý đơn khiếu nại, tố cáo, kiến nghị, phản ánh.</w:t>
            </w:r>
          </w:p>
        </w:tc>
        <w:tc>
          <w:tcPr>
            <w:tcW w:w="4003" w:type="dxa"/>
            <w:vAlign w:val="center"/>
          </w:tcPr>
          <w:p>
            <w:pPr>
              <w:jc w:val="both"/>
              <w:rPr>
                <w:bCs/>
                <w:iCs/>
                <w:sz w:val="26"/>
                <w:szCs w:val="26"/>
              </w:rPr>
            </w:pPr>
            <w:r>
              <w:rPr>
                <w:bCs/>
                <w:iCs/>
                <w:sz w:val="26"/>
                <w:szCs w:val="26"/>
              </w:rPr>
              <w:t>Thông tư 65/2026/TT-BTC ngày 11/9/2026 của Bộ trưởng Bộ Tài chính sửa đổi, bổ sung một số điều của Thông tư số 320/2016/TT-BTC của Bộ trưởng Bộ Tài chính quy định chế độ bồi dưỡng đối với người làm nhiệm vụ tiếp công dân, xử lý đơn khiếu nại, tố cáo, kiến nghị, phản ánh. Vì vậy cần ban hành Nghị quyết chung thay thế Nghị quyết số 09/2017/NQ-HĐND và Nghị quyết số 14/2017/NQ-HĐND</w:t>
            </w:r>
          </w:p>
        </w:tc>
        <w:tc>
          <w:tcPr>
            <w:tcW w:w="1417" w:type="dxa"/>
            <w:vAlign w:val="center"/>
          </w:tcPr>
          <w:p>
            <w:pPr>
              <w:jc w:val="both"/>
              <w:rPr>
                <w:bCs/>
                <w:iCs/>
                <w:sz w:val="26"/>
                <w:szCs w:val="26"/>
              </w:rPr>
            </w:pPr>
            <w:r>
              <w:rPr>
                <w:bCs/>
                <w:iCs/>
                <w:sz w:val="26"/>
                <w:szCs w:val="26"/>
              </w:rPr>
              <w:t>Thay thế</w:t>
            </w:r>
          </w:p>
        </w:tc>
        <w:tc>
          <w:tcPr>
            <w:tcW w:w="1275" w:type="dxa"/>
            <w:vAlign w:val="center"/>
          </w:tcPr>
          <w:p>
            <w:pPr>
              <w:jc w:val="both"/>
              <w:rPr>
                <w:bCs/>
                <w:iCs/>
                <w:sz w:val="26"/>
                <w:szCs w:val="26"/>
              </w:rPr>
            </w:pPr>
            <w:r>
              <w:rPr>
                <w:bCs/>
                <w:iCs/>
                <w:sz w:val="26"/>
                <w:szCs w:val="26"/>
              </w:rPr>
              <w:t>2026</w:t>
            </w:r>
          </w:p>
        </w:tc>
        <w:tc>
          <w:tcPr>
            <w:tcW w:w="1904" w:type="dxa"/>
            <w:vAlign w:val="center"/>
          </w:tcPr>
          <w:p>
            <w:pPr>
              <w:jc w:val="both"/>
              <w:rPr>
                <w:bCs/>
                <w:iCs/>
                <w:sz w:val="26"/>
                <w:szCs w:val="26"/>
              </w:rPr>
            </w:pPr>
            <w:r>
              <w:rPr>
                <w:bCs/>
                <w:iCs/>
                <w:sz w:val="26"/>
                <w:szCs w:val="26"/>
              </w:rPr>
              <w:t xml:space="preserve">Tiêu chí 2.3 </w:t>
            </w:r>
          </w:p>
        </w:tc>
        <w:tc>
          <w:tcPr>
            <w:tcW w:w="1710" w:type="dxa"/>
            <w:vAlign w:val="center"/>
          </w:tcPr>
          <w:p>
            <w:pPr>
              <w:jc w:val="both"/>
              <w:rPr>
                <w:bCs/>
                <w:iCs/>
                <w:sz w:val="26"/>
                <w:szCs w:val="26"/>
              </w:rPr>
            </w:pPr>
            <w:r>
              <w:rPr>
                <w:bCs/>
                <w:iCs/>
                <w:sz w:val="26"/>
                <w:szCs w:val="26"/>
              </w:rPr>
              <w:t/>
            </w:r>
          </w:p>
        </w:tc>
      </w:tr>
      <w:tr>
        <w:tc>
          <w:tcPr>
            <w:tcW w:w="959" w:type="dxa"/>
            <w:vAlign w:val="center"/>
          </w:tcPr>
          <w:p>
            <w:pPr>
              <w:jc w:val="center"/>
              <w:rPr>
                <w:bCs/>
                <w:iCs/>
                <w:sz w:val="26"/>
                <w:szCs w:val="26"/>
              </w:rPr>
            </w:pPr>
            <w:r>
              <w:rPr>
                <w:bCs/>
                <w:iCs/>
                <w:sz w:val="26"/>
                <w:szCs w:val="26"/>
              </w:rPr>
              <w:t>3.</w:t>
            </w:r>
          </w:p>
        </w:tc>
        <w:tc>
          <w:tcPr>
            <w:tcW w:w="1848" w:type="dxa"/>
            <w:vAlign w:val="center"/>
          </w:tcPr>
          <w:p>
            <w:pPr>
              <w:jc w:val="both"/>
              <w:rPr>
                <w:bCs/>
                <w:iCs/>
                <w:sz w:val="26"/>
                <w:szCs w:val="26"/>
              </w:rPr>
            </w:pPr>
            <w:r>
              <w:rPr>
                <w:bCs/>
                <w:iCs/>
                <w:sz w:val="26"/>
                <w:szCs w:val="26"/>
              </w:rPr>
              <w:t>Nghị quyết số 11/2022/NQ-HĐND ngày 23/09/2022 của HĐND tỉnh Khánh Hòa (cũ) quy định chế độ hỗ trợ đào tạo, bồi dưỡng cán bộ, công chức, viên chức và thu hút nhân tài trên địa bàn tỉnh Khánh Hòa (Khánh Hòa cũ)</w:t>
            </w:r>
          </w:p>
        </w:tc>
        <w:tc>
          <w:tcPr>
            <w:tcW w:w="2121" w:type="dxa"/>
            <w:vAlign w:val="center"/>
          </w:tcPr>
          <w:p>
            <w:pPr>
              <w:jc w:val="both"/>
              <w:rPr>
                <w:bCs/>
                <w:iCs/>
                <w:sz w:val="26"/>
                <w:szCs w:val="26"/>
              </w:rPr>
            </w:pPr>
            <w:r>
              <w:rPr>
                <w:bCs/>
                <w:iCs/>
                <w:sz w:val="26"/>
                <w:szCs w:val="26"/>
              </w:rPr>
              <w:t>Luật Ban hành văn bản quy phạm pháp luật số  64/2025/QH15</w:t>
              <w:br/>
              <w:t>ngày 19/02/2025</w:t>
            </w:r>
          </w:p>
        </w:tc>
        <w:tc>
          <w:tcPr>
            <w:tcW w:w="4003" w:type="dxa"/>
            <w:vAlign w:val="center"/>
          </w:tcPr>
          <w:p>
            <w:pPr>
              <w:jc w:val="both"/>
              <w:rPr>
                <w:bCs/>
                <w:iCs/>
                <w:sz w:val="26"/>
                <w:szCs w:val="26"/>
              </w:rPr>
            </w:pPr>
            <w:r>
              <w:rPr>
                <w:bCs/>
                <w:iCs/>
                <w:sz w:val="26"/>
                <w:szCs w:val="26"/>
              </w:rPr>
              <w:t>Ngày 14/5/2026, Hội đồng nhân dân tỉnh đã ban hành Nghị quyết số 08/2026/NQ-HĐND quy định một số nội dung và mức chi hỗ trợ đào tạo, bồi dưỡng trong nước đối với cán bộ, công chức, viên chức trên địa bàn tỉnh. Theo đó, Nghị quyết số 09/2023/NQ-HĐND của HĐND tỉnh Ninh Thuận trước sắp xếp hết hiệu lực; đồng thời một số nội dung liên quan tại Nghị quyết số 11/2022/NQ-HĐND ngày 23/9/2022 của HĐND tỉnh Khánh Hòa cũng hết hiệu lực, đang được xử lý theo quy định chuyển tiếp. Tuy nhiên, trong thực tế triển khai sau sắp xếp đơn vị hành chính cấp tỉnh, việc áp dụng chính sách hỗ trợ đào tạo, bồi dưỡng và thu hút nhân tài còn chưa thống nhất giữa các khu vực trước sắp xếp. Cụ thể, các cơ quan, đơn vị thuộc khu vực Khánh Hòa trước đây còn cơ sở áp dụng Nghị quyết số 11/2022/NQ-HĐND; trong khi các cơ quan, đơn vị thuộc khu vực Ninh Thuận trước đây không còn cơ sở áp dụng chính sách hỗ trợ tương ứng đối với một số nội dung, nhất là hỗ trợ đào tạo sau đại học. Điều này ảnh hưởng đến tính đồng bộ trong phát triển nguồn nhân lực chung của tỉnh, nhất là nguồn nhân lực y tế chất lượng cao trên địa bàn tỉnh. Từ thực tế trên, việc xây dựng Nghị quyết thay thế Nghị quyết số 11/2022/NQ-HĐND là cần thiết nhằm thống nhất chính sách trên phạm vi toàn tỉnh sau sắp xếp đơn vị hành chính; bảo đảm công bằng giữa các cơ quan, đơn vị; tháo gỡ vướng mắc phát sinh và tạo cơ sở pháp lý cho việc quản lý, sử dụng kinh phí theo quy định.</w:t>
            </w:r>
          </w:p>
        </w:tc>
        <w:tc>
          <w:tcPr>
            <w:tcW w:w="1417" w:type="dxa"/>
            <w:vAlign w:val="center"/>
          </w:tcPr>
          <w:p>
            <w:pPr>
              <w:jc w:val="both"/>
              <w:rPr>
                <w:bCs/>
                <w:iCs/>
                <w:sz w:val="26"/>
                <w:szCs w:val="26"/>
              </w:rPr>
            </w:pPr>
            <w:r>
              <w:rPr>
                <w:bCs/>
                <w:iCs/>
                <w:sz w:val="26"/>
                <w:szCs w:val="26"/>
              </w:rPr>
              <w:t>Thay thế</w:t>
            </w:r>
          </w:p>
        </w:tc>
        <w:tc>
          <w:tcPr>
            <w:tcW w:w="1275" w:type="dxa"/>
            <w:vAlign w:val="center"/>
          </w:tcPr>
          <w:p>
            <w:pPr>
              <w:jc w:val="both"/>
              <w:rPr>
                <w:bCs/>
                <w:iCs/>
                <w:sz w:val="26"/>
                <w:szCs w:val="26"/>
              </w:rPr>
            </w:pPr>
            <w:r>
              <w:rPr>
                <w:bCs/>
                <w:iCs/>
                <w:sz w:val="26"/>
                <w:szCs w:val="26"/>
              </w:rPr>
              <w:t>2026</w:t>
            </w:r>
          </w:p>
        </w:tc>
        <w:tc>
          <w:tcPr>
            <w:tcW w:w="1904" w:type="dxa"/>
            <w:vAlign w:val="center"/>
          </w:tcPr>
          <w:p>
            <w:pPr>
              <w:jc w:val="both"/>
              <w:rPr>
                <w:bCs/>
                <w:iCs/>
                <w:sz w:val="26"/>
                <w:szCs w:val="26"/>
              </w:rPr>
            </w:pPr>
            <w:r>
              <w:rPr>
                <w:bCs/>
                <w:iCs/>
                <w:sz w:val="26"/>
                <w:szCs w:val="26"/>
              </w:rPr>
              <w:t xml:space="preserve">Tiêu chí 2.3 </w:t>
            </w:r>
          </w:p>
        </w:tc>
        <w:tc>
          <w:tcPr>
            <w:tcW w:w="1710" w:type="dxa"/>
            <w:vAlign w:val="center"/>
          </w:tcPr>
          <w:p>
            <w:pPr>
              <w:jc w:val="both"/>
              <w:rPr>
                <w:bCs/>
                <w:iCs/>
                <w:sz w:val="26"/>
                <w:szCs w:val="26"/>
              </w:rPr>
            </w:pPr>
            <w:r>
              <w:rPr>
                <w:bCs/>
                <w:iCs/>
                <w:sz w:val="26"/>
                <w:szCs w:val="26"/>
              </w:rPr>
              <w:t/>
            </w:r>
          </w:p>
        </w:tc>
      </w:tr>
      <w:tr>
        <w:tc>
          <w:tcPr>
            <w:tcW w:w="959" w:type="dxa"/>
            <w:vAlign w:val="center"/>
          </w:tcPr>
          <w:p>
            <w:pPr>
              <w:jc w:val="center"/>
              <w:rPr>
                <w:bCs/>
                <w:iCs/>
                <w:sz w:val="26"/>
                <w:szCs w:val="26"/>
              </w:rPr>
            </w:pPr>
            <w:r>
              <w:rPr>
                <w:bCs/>
                <w:iCs/>
                <w:sz w:val="26"/>
                <w:szCs w:val="26"/>
              </w:rPr>
              <w:t>4.</w:t>
            </w:r>
          </w:p>
        </w:tc>
        <w:tc>
          <w:tcPr>
            <w:tcW w:w="1848" w:type="dxa"/>
            <w:vAlign w:val="center"/>
          </w:tcPr>
          <w:p>
            <w:pPr>
              <w:jc w:val="both"/>
              <w:rPr>
                <w:bCs/>
                <w:iCs/>
                <w:sz w:val="26"/>
                <w:szCs w:val="26"/>
              </w:rPr>
            </w:pPr>
            <w:r>
              <w:rPr>
                <w:bCs/>
                <w:iCs/>
                <w:sz w:val="26"/>
                <w:szCs w:val="26"/>
              </w:rPr>
              <w:t>Nghị quyết số 18/2022/NQ-HĐND ngày 15/11/2022 của HĐND tỉnh Khánh Hòa Quy định chế độ hỗ trợ đối với cán bộ thuộc diện Ban Thường vụ Tỉnh ủy quản lý và một số đối tượng chính sách khác trên địa bàn tỉnh Khánh Hòa đã được sửa đổi, bổ sung bởi Nghị quyết số 08/2024/NQ-HĐND ngày 13/09/2024 của HĐND tỉnh Khánh Hòa</w:t>
            </w:r>
          </w:p>
        </w:tc>
        <w:tc>
          <w:tcPr>
            <w:tcW w:w="2121" w:type="dxa"/>
            <w:vAlign w:val="center"/>
          </w:tcPr>
          <w:p>
            <w:pPr>
              <w:jc w:val="both"/>
              <w:rPr>
                <w:bCs/>
                <w:iCs/>
                <w:sz w:val="26"/>
                <w:szCs w:val="26"/>
              </w:rPr>
            </w:pPr>
            <w:r>
              <w:rPr>
                <w:bCs/>
                <w:iCs/>
                <w:sz w:val="26"/>
                <w:szCs w:val="26"/>
              </w:rPr>
              <w:t>Kết luận của Thường trực Tỉnh ủy tại Thông báo số 144-TB/TU ngày 15/4/2026 thống nhất về chủ trương xây dựng Nghị quyết ban hành Quy định chế độ hỗ trợ đối với cán bộ thuộc diện Ban Thường vụ Tỉnh ủy quản lý và một số đối tượng chính sách khác trên địa bàn tỉnh</w:t>
            </w:r>
          </w:p>
        </w:tc>
        <w:tc>
          <w:tcPr>
            <w:tcW w:w="4003" w:type="dxa"/>
            <w:vAlign w:val="center"/>
          </w:tcPr>
          <w:p>
            <w:pPr>
              <w:jc w:val="both"/>
              <w:rPr>
                <w:bCs/>
                <w:iCs/>
                <w:sz w:val="26"/>
                <w:szCs w:val="26"/>
              </w:rPr>
            </w:pPr>
            <w:r>
              <w:rPr>
                <w:bCs/>
                <w:iCs/>
                <w:sz w:val="26"/>
                <w:szCs w:val="26"/>
              </w:rPr>
              <w:t>Thực hiện Kế hoạch số 07-KH/BTCTW, ngày 27/02/2026 của Ban Tổ chức Trung ương về khám sức khỏe định kỳ năm 2026; căn cứ nội dung Kết luận của Thường trực Tỉnh ủy tại Thông báo số 144-TB/TU ngày 15/4/2026 thống nhất về chủ trương xây dựng Nghị quyết ban hành Quy định chế độ hỗ trợ đối với cán bộ thuộc diện Ban Thường vụ Tỉnh ủy quản lý và một số đối tượng chính sách khác trên địa bàn tỉnh Khánh Hòa.</w:t>
              <w:br/>
              <w:t>Do đó để đảm bảo công tác tổ chức thực hiện khám sức khỏe định kỳ để theo dõi và phát hiện sớm bệnh tật nhằm dự phòng, nâng cao sức khỏe và điều trị kịp thời giúp cán bộ có sức khỏe tốt, hoàn thành nhiệm vụ của Đảng và Nhà nước giao phó thì việc ban hành Nghị quyết mới áp dụng thống nhất trên địa bàn toàn tỉnh Khánh Hòa là rất cần thiết và phù hợp với tình hình thực tiễn và thay thế Nghị quyết số 18/2022/NQ-HĐND ngày 15/11/2022</w:t>
            </w:r>
          </w:p>
        </w:tc>
        <w:tc>
          <w:tcPr>
            <w:tcW w:w="1417" w:type="dxa"/>
            <w:vAlign w:val="center"/>
          </w:tcPr>
          <w:p>
            <w:pPr>
              <w:jc w:val="both"/>
              <w:rPr>
                <w:bCs/>
                <w:iCs/>
                <w:sz w:val="26"/>
                <w:szCs w:val="26"/>
              </w:rPr>
            </w:pPr>
            <w:r>
              <w:rPr>
                <w:bCs/>
                <w:iCs/>
                <w:sz w:val="26"/>
                <w:szCs w:val="26"/>
              </w:rPr>
              <w:t>Thay thế</w:t>
            </w:r>
          </w:p>
        </w:tc>
        <w:tc>
          <w:tcPr>
            <w:tcW w:w="1275" w:type="dxa"/>
            <w:vAlign w:val="center"/>
          </w:tcPr>
          <w:p>
            <w:pPr>
              <w:jc w:val="both"/>
              <w:rPr>
                <w:bCs/>
                <w:iCs/>
                <w:sz w:val="26"/>
                <w:szCs w:val="26"/>
              </w:rPr>
            </w:pPr>
            <w:r>
              <w:rPr>
                <w:bCs/>
                <w:iCs/>
                <w:sz w:val="26"/>
                <w:szCs w:val="26"/>
              </w:rPr>
              <w:t>2026</w:t>
            </w:r>
          </w:p>
        </w:tc>
        <w:tc>
          <w:tcPr>
            <w:tcW w:w="1904" w:type="dxa"/>
            <w:vAlign w:val="center"/>
          </w:tcPr>
          <w:p>
            <w:pPr>
              <w:jc w:val="both"/>
              <w:rPr>
                <w:bCs/>
                <w:iCs/>
                <w:sz w:val="26"/>
                <w:szCs w:val="26"/>
              </w:rPr>
            </w:pPr>
            <w:r>
              <w:rPr>
                <w:bCs/>
                <w:iCs/>
                <w:sz w:val="26"/>
                <w:szCs w:val="26"/>
              </w:rPr>
              <w:t xml:space="preserve">Tiêu chí 1.1 - Tiêu chí về tổ chức bộ máy </w:t>
            </w:r>
          </w:p>
        </w:tc>
        <w:tc>
          <w:tcPr>
            <w:tcW w:w="1710" w:type="dxa"/>
            <w:vAlign w:val="center"/>
          </w:tcPr>
          <w:p>
            <w:pPr>
              <w:jc w:val="both"/>
              <w:rPr>
                <w:bCs/>
                <w:iCs/>
                <w:sz w:val="26"/>
                <w:szCs w:val="26"/>
              </w:rPr>
            </w:pPr>
            <w:r>
              <w:rPr>
                <w:bCs/>
                <w:iCs/>
                <w:sz w:val="26"/>
                <w:szCs w:val="26"/>
              </w:rPr>
              <w:t/>
            </w:r>
          </w:p>
        </w:tc>
      </w:tr>
      <w:tr>
        <w:tc>
          <w:tcPr>
            <w:tcW w:w="959" w:type="dxa"/>
            <w:vAlign w:val="center"/>
          </w:tcPr>
          <w:p>
            <w:pPr>
              <w:jc w:val="center"/>
              <w:rPr>
                <w:bCs/>
                <w:iCs/>
                <w:sz w:val="26"/>
                <w:szCs w:val="26"/>
              </w:rPr>
            </w:pPr>
            <w:r>
              <w:rPr>
                <w:bCs/>
                <w:iCs/>
                <w:sz w:val="26"/>
                <w:szCs w:val="26"/>
              </w:rPr>
              <w:t>5.</w:t>
            </w:r>
          </w:p>
        </w:tc>
        <w:tc>
          <w:tcPr>
            <w:tcW w:w="1848" w:type="dxa"/>
            <w:vAlign w:val="center"/>
          </w:tcPr>
          <w:p>
            <w:pPr>
              <w:jc w:val="both"/>
              <w:rPr>
                <w:bCs/>
                <w:iCs/>
                <w:sz w:val="26"/>
                <w:szCs w:val="26"/>
              </w:rPr>
            </w:pPr>
            <w:r>
              <w:rPr>
                <w:bCs/>
                <w:iCs/>
                <w:sz w:val="26"/>
                <w:szCs w:val="26"/>
              </w:rPr>
              <w:t>Nghị quyết số 19/2022/NQ-HĐND ngày 15/11/2022 của HĐND tỉnh Khánh Hòa Quy định mức hỗ trợ người trực tiếp giúp đỡ người được giáo dục tại xã, phường, thị trấn trên địa bàn tỉnh Khánh Hòa</w:t>
            </w:r>
          </w:p>
        </w:tc>
        <w:tc>
          <w:tcPr>
            <w:tcW w:w="2121" w:type="dxa"/>
            <w:vAlign w:val="center"/>
          </w:tcPr>
          <w:p>
            <w:pPr>
              <w:jc w:val="both"/>
              <w:rPr>
                <w:bCs/>
                <w:iCs/>
                <w:sz w:val="26"/>
                <w:szCs w:val="26"/>
              </w:rPr>
            </w:pPr>
            <w:r>
              <w:rPr>
                <w:bCs/>
                <w:iCs/>
                <w:sz w:val="26"/>
                <w:szCs w:val="26"/>
              </w:rPr>
              <w:t>- Luật Ban hành văn bản quy phạm pháp luật số  64/2025/QH15 ngày 19/02/2025</w:t>
              <w:br/>
              <w:t>- Nghị quyết số 202/2025/QH15 của Quốc Hội  ngày 12 tháng 06 năm 2025 về sắp xếp đơn vị hành chính cấp tỉnh</w:t>
            </w:r>
          </w:p>
        </w:tc>
        <w:tc>
          <w:tcPr>
            <w:tcW w:w="4003" w:type="dxa"/>
            <w:vAlign w:val="center"/>
          </w:tcPr>
          <w:p>
            <w:pPr>
              <w:jc w:val="both"/>
              <w:rPr>
                <w:bCs/>
                <w:iCs/>
                <w:sz w:val="26"/>
                <w:szCs w:val="26"/>
              </w:rPr>
            </w:pPr>
            <w:r>
              <w:rPr>
                <w:bCs/>
                <w:iCs/>
                <w:sz w:val="26"/>
                <w:szCs w:val="26"/>
              </w:rPr>
              <w:t>Ngày 12/6/2025, Quốc hội ban hành Nghị quyết số 202/2025/QH15 về việc sắp xếp đơn vị hành chính cấp tỉnh; theo đó, kể từ ngày 01/7/2025 sẽ thực hiện sáp xếp toàn bộ diện tích tự nhiên, quy mô dân số của tỉnh Ninh Thuận và tỉnh Khánh Hòa thành tỉnh mới có tên gọi là tỉnh Khánh Hòa. Do đó cần ban hành văn bản thay thế (Nghị quyết số 19/2022/NQ-HĐND và Nghị quyết số số 08/2023/NQ-HĐND)</w:t>
            </w:r>
          </w:p>
        </w:tc>
        <w:tc>
          <w:tcPr>
            <w:tcW w:w="1417" w:type="dxa"/>
            <w:vAlign w:val="center"/>
          </w:tcPr>
          <w:p>
            <w:pPr>
              <w:jc w:val="both"/>
              <w:rPr>
                <w:bCs/>
                <w:iCs/>
                <w:sz w:val="26"/>
                <w:szCs w:val="26"/>
              </w:rPr>
            </w:pPr>
            <w:r>
              <w:rPr>
                <w:bCs/>
                <w:iCs/>
                <w:sz w:val="26"/>
                <w:szCs w:val="26"/>
              </w:rPr>
              <w:t>Thay thế</w:t>
            </w:r>
          </w:p>
        </w:tc>
        <w:tc>
          <w:tcPr>
            <w:tcW w:w="1275" w:type="dxa"/>
            <w:vAlign w:val="center"/>
          </w:tcPr>
          <w:p>
            <w:pPr>
              <w:jc w:val="both"/>
              <w:rPr>
                <w:bCs/>
                <w:iCs/>
                <w:sz w:val="26"/>
                <w:szCs w:val="26"/>
              </w:rPr>
            </w:pPr>
            <w:r>
              <w:rPr>
                <w:bCs/>
                <w:iCs/>
                <w:sz w:val="26"/>
                <w:szCs w:val="26"/>
              </w:rPr>
              <w:t>2026</w:t>
            </w:r>
          </w:p>
        </w:tc>
        <w:tc>
          <w:tcPr>
            <w:tcW w:w="1904" w:type="dxa"/>
            <w:vAlign w:val="center"/>
          </w:tcPr>
          <w:p>
            <w:pPr>
              <w:jc w:val="both"/>
              <w:rPr>
                <w:bCs/>
                <w:iCs/>
                <w:sz w:val="26"/>
                <w:szCs w:val="26"/>
              </w:rPr>
            </w:pPr>
            <w:r>
              <w:rPr>
                <w:bCs/>
                <w:iCs/>
                <w:sz w:val="26"/>
                <w:szCs w:val="26"/>
              </w:rPr>
              <w:t xml:space="preserve">Tiêu chí 1.1 - Tiêu chí về tổ chức bộ máy </w:t>
            </w:r>
          </w:p>
        </w:tc>
        <w:tc>
          <w:tcPr>
            <w:tcW w:w="1710" w:type="dxa"/>
            <w:vAlign w:val="center"/>
          </w:tcPr>
          <w:p>
            <w:pPr>
              <w:jc w:val="both"/>
              <w:rPr>
                <w:bCs/>
                <w:iCs/>
                <w:sz w:val="26"/>
                <w:szCs w:val="26"/>
              </w:rPr>
            </w:pPr>
            <w:r>
              <w:rPr>
                <w:bCs/>
                <w:iCs/>
                <w:sz w:val="26"/>
                <w:szCs w:val="26"/>
              </w:rPr>
              <w:t/>
            </w:r>
          </w:p>
        </w:tc>
      </w:tr>
      <w:tr>
        <w:tc>
          <w:tcPr>
            <w:tcW w:w="959" w:type="dxa"/>
            <w:vAlign w:val="center"/>
          </w:tcPr>
          <w:p>
            <w:pPr>
              <w:jc w:val="center"/>
              <w:rPr>
                <w:bCs/>
                <w:iCs/>
                <w:sz w:val="26"/>
                <w:szCs w:val="26"/>
              </w:rPr>
            </w:pPr>
            <w:r>
              <w:rPr>
                <w:bCs/>
                <w:iCs/>
                <w:sz w:val="26"/>
                <w:szCs w:val="26"/>
              </w:rPr>
              <w:t>6.</w:t>
            </w:r>
          </w:p>
        </w:tc>
        <w:tc>
          <w:tcPr>
            <w:tcW w:w="1848" w:type="dxa"/>
            <w:vAlign w:val="center"/>
          </w:tcPr>
          <w:p>
            <w:pPr>
              <w:jc w:val="both"/>
              <w:rPr>
                <w:bCs/>
                <w:iCs/>
                <w:sz w:val="26"/>
                <w:szCs w:val="26"/>
              </w:rPr>
            </w:pPr>
            <w:r>
              <w:rPr>
                <w:bCs/>
                <w:iCs/>
                <w:sz w:val="26"/>
                <w:szCs w:val="26"/>
              </w:rPr>
              <w:t>Nghị quyết số 08/2023/NQ-HĐND ngày 25/07/2023 của HĐND tình Ninh Thuận Quy định mức hỗ trợ cho người được phân công trực tiếp giúp đỡ người được giáo dục tại xã, phường, thị trấn trên địa bàn tỉnh Ninh Thuận</w:t>
            </w:r>
          </w:p>
        </w:tc>
        <w:tc>
          <w:tcPr>
            <w:tcW w:w="2121" w:type="dxa"/>
            <w:vAlign w:val="center"/>
          </w:tcPr>
          <w:p>
            <w:pPr>
              <w:jc w:val="both"/>
              <w:rPr>
                <w:bCs/>
                <w:iCs/>
                <w:sz w:val="26"/>
                <w:szCs w:val="26"/>
              </w:rPr>
            </w:pPr>
            <w:r>
              <w:rPr>
                <w:bCs/>
                <w:iCs/>
                <w:sz w:val="26"/>
                <w:szCs w:val="26"/>
              </w:rPr>
              <w:t>- Luật Ban hành văn bản quy phạm pháp luật số  64/2025/QH15 ngày 19/02/2025</w:t>
              <w:br/>
              <w:t>- Nghị quyết số 202/2025/QH15 của Quốc Hội  ngày 12 tháng 06 năm 2025 về sắp xếp đơn vị hành chính cấp tỉnh</w:t>
            </w:r>
          </w:p>
        </w:tc>
        <w:tc>
          <w:tcPr>
            <w:tcW w:w="4003" w:type="dxa"/>
            <w:vAlign w:val="center"/>
          </w:tcPr>
          <w:p>
            <w:pPr>
              <w:jc w:val="both"/>
              <w:rPr>
                <w:bCs/>
                <w:iCs/>
                <w:sz w:val="26"/>
                <w:szCs w:val="26"/>
              </w:rPr>
            </w:pPr>
            <w:r>
              <w:rPr>
                <w:bCs/>
                <w:iCs/>
                <w:sz w:val="26"/>
                <w:szCs w:val="26"/>
              </w:rPr>
              <w:t>Ngày 12/6/2025, Quốc hội ban hành Nghị quyết số 202/2025/QH15 về việc sắp xếp đơn vị hành chính cấp tỉnh; theo đó, kể từ ngày 01/7/2025 sẽ thực hiện sáp xếp toàn bộ diện tích tự nhiên, quy mô dân số của tỉnh Ninh Thuận và tỉnh Khánh Hòa thành tỉnh mới có tên gọi là tỉnh Khánh Hòa.</w:t>
            </w:r>
          </w:p>
        </w:tc>
        <w:tc>
          <w:tcPr>
            <w:tcW w:w="1417" w:type="dxa"/>
            <w:vAlign w:val="center"/>
          </w:tcPr>
          <w:p>
            <w:pPr>
              <w:jc w:val="both"/>
              <w:rPr>
                <w:bCs/>
                <w:iCs/>
                <w:sz w:val="26"/>
                <w:szCs w:val="26"/>
              </w:rPr>
            </w:pPr>
            <w:r>
              <w:rPr>
                <w:bCs/>
                <w:iCs/>
                <w:sz w:val="26"/>
                <w:szCs w:val="26"/>
              </w:rPr>
              <w:t>Thay thế</w:t>
            </w:r>
          </w:p>
        </w:tc>
        <w:tc>
          <w:tcPr>
            <w:tcW w:w="1275" w:type="dxa"/>
            <w:vAlign w:val="center"/>
          </w:tcPr>
          <w:p>
            <w:pPr>
              <w:jc w:val="both"/>
              <w:rPr>
                <w:bCs/>
                <w:iCs/>
                <w:sz w:val="26"/>
                <w:szCs w:val="26"/>
              </w:rPr>
            </w:pPr>
            <w:r>
              <w:rPr>
                <w:bCs/>
                <w:iCs/>
                <w:sz w:val="26"/>
                <w:szCs w:val="26"/>
              </w:rPr>
              <w:t>2026</w:t>
            </w:r>
          </w:p>
        </w:tc>
        <w:tc>
          <w:tcPr>
            <w:tcW w:w="1904" w:type="dxa"/>
            <w:vAlign w:val="center"/>
          </w:tcPr>
          <w:p>
            <w:pPr>
              <w:jc w:val="both"/>
              <w:rPr>
                <w:bCs/>
                <w:iCs/>
                <w:sz w:val="26"/>
                <w:szCs w:val="26"/>
              </w:rPr>
            </w:pPr>
            <w:r>
              <w:rPr>
                <w:bCs/>
                <w:iCs/>
                <w:sz w:val="26"/>
                <w:szCs w:val="26"/>
              </w:rPr>
              <w:t xml:space="preserve">Tiêu chí 1.1 - Tiêu chí về tổ chức bộ máy </w:t>
            </w:r>
          </w:p>
        </w:tc>
        <w:tc>
          <w:tcPr>
            <w:tcW w:w="1710" w:type="dxa"/>
            <w:vAlign w:val="center"/>
          </w:tcPr>
          <w:p>
            <w:pPr>
              <w:jc w:val="both"/>
              <w:rPr>
                <w:bCs/>
                <w:iCs/>
                <w:sz w:val="26"/>
                <w:szCs w:val="26"/>
              </w:rPr>
            </w:pPr>
            <w:r>
              <w:rPr>
                <w:bCs/>
                <w:iCs/>
                <w:sz w:val="26"/>
                <w:szCs w:val="26"/>
              </w:rPr>
              <w:t/>
            </w:r>
          </w:p>
        </w:tc>
      </w:tr>
      <w:tr>
        <w:tc>
          <w:tcPr>
            <w:tcW w:w="959" w:type="dxa"/>
            <w:vAlign w:val="center"/>
          </w:tcPr>
          <w:p>
            <w:pPr>
              <w:jc w:val="center"/>
              <w:rPr>
                <w:bCs/>
                <w:iCs/>
                <w:sz w:val="26"/>
                <w:szCs w:val="26"/>
              </w:rPr>
            </w:pPr>
            <w:r>
              <w:rPr>
                <w:bCs/>
                <w:iCs/>
                <w:sz w:val="26"/>
                <w:szCs w:val="26"/>
              </w:rPr>
              <w:t>7.</w:t>
            </w:r>
          </w:p>
        </w:tc>
        <w:tc>
          <w:tcPr>
            <w:tcW w:w="1848" w:type="dxa"/>
            <w:vAlign w:val="center"/>
          </w:tcPr>
          <w:p>
            <w:pPr>
              <w:jc w:val="both"/>
              <w:rPr>
                <w:bCs/>
                <w:iCs/>
                <w:sz w:val="26"/>
                <w:szCs w:val="26"/>
              </w:rPr>
            </w:pPr>
            <w:r>
              <w:rPr>
                <w:bCs/>
                <w:iCs/>
                <w:sz w:val="26"/>
                <w:szCs w:val="26"/>
              </w:rPr>
              <w:t>Nghị quyết số 12/2024/NQ-HĐND ngày 31/10/2024 của HĐND tỉnh Khánh Hòa Quy định các tiêu chí để quyết định thực hiện đấu thầu lựa chọn nhà đầu tư thực hiện dự án đầu tư có sử dụng đất trên địa bàn tỉnh Khánh Hòa</w:t>
            </w:r>
          </w:p>
        </w:tc>
        <w:tc>
          <w:tcPr>
            <w:tcW w:w="2121" w:type="dxa"/>
            <w:vAlign w:val="center"/>
          </w:tcPr>
          <w:p>
            <w:pPr>
              <w:jc w:val="both"/>
              <w:rPr>
                <w:bCs/>
                <w:iCs/>
                <w:sz w:val="26"/>
                <w:szCs w:val="26"/>
              </w:rPr>
            </w:pPr>
            <w:r>
              <w:rPr>
                <w:bCs/>
                <w:iCs/>
                <w:sz w:val="26"/>
                <w:szCs w:val="26"/>
              </w:rPr>
              <w:t>- Luật Ban hành văn bản quy phạm pháp luật số  64/2025/QH15</w:t>
              <w:br/>
              <w:t>ngày 19/02/2025</w:t>
              <w:br/>
              <w:t>- Nghị quyết số 202/2025/QH15 của Quốc Hội ngày 12 tháng 06 năm 2025 về sắp xếp đơn vị hành chính cấp tỉnh.</w:t>
              <w:br/>
              <w:t>- Nghị định 79/2025/NĐ-CP là văn bản trực tiếp quy định về kiểm tra, rà soát, hệ thống hóa và xử lý VBQPPL.</w:t>
              <w:br/>
              <w:t>- Luật Đầu tư năm 2025</w:t>
              <w:br/>
              <w:t>- Nghị định Nghị định  số 96/2026/NĐ-CP ngày 31/3/2026 của Chính phủ.</w:t>
            </w:r>
          </w:p>
        </w:tc>
        <w:tc>
          <w:tcPr>
            <w:tcW w:w="4003" w:type="dxa"/>
            <w:vAlign w:val="center"/>
          </w:tcPr>
          <w:p>
            <w:pPr>
              <w:jc w:val="both"/>
              <w:rPr>
                <w:bCs/>
                <w:iCs/>
                <w:sz w:val="26"/>
                <w:szCs w:val="26"/>
              </w:rPr>
            </w:pPr>
            <w:r>
              <w:rPr>
                <w:bCs/>
                <w:iCs/>
                <w:sz w:val="26"/>
                <w:szCs w:val="26"/>
              </w:rPr>
              <w:t>Ngày 12/6/2025, Quốc hội ban hành Nghị quyết số 202/2025/QH15 về việc sắp xếp đơn vị hành chính cấp tỉnh; theo đó, kể từ ngày 01/7/2025 sẽ thực hiện sáp xếp toàn bộ diện tích tự nhiên, quy mô dân số của tỉnh Ninh Thuận và tỉnh Khánh Hòa thành tỉnh mới có tên gọi là tỉnh Khánh Hòa</w:t>
              <w:br/>
              <w:t>Hiện nay các căn cứ pháp lý để tham mưu ban hành Nghị quyết số 12/2024/NQ-HĐND đã hết hiệu lực. Đồng thời, nội dung của Nghị quyết này không còn phù hợp và chồng chéo mâu thuẫn với các quy định của pháp luật hiện hành có liên quan. Do đó cần ban hành văn bản thay thế (Nghị quyết số 12/2024/NQ-HĐND của Khánh Hòa và Nghị quyết số 20/2024/NQ-HĐND của Ninh Thuận)</w:t>
            </w:r>
          </w:p>
        </w:tc>
        <w:tc>
          <w:tcPr>
            <w:tcW w:w="1417" w:type="dxa"/>
            <w:vAlign w:val="center"/>
          </w:tcPr>
          <w:p>
            <w:pPr>
              <w:jc w:val="both"/>
              <w:rPr>
                <w:bCs/>
                <w:iCs/>
                <w:sz w:val="26"/>
                <w:szCs w:val="26"/>
              </w:rPr>
            </w:pPr>
            <w:r>
              <w:rPr>
                <w:bCs/>
                <w:iCs/>
                <w:sz w:val="26"/>
                <w:szCs w:val="26"/>
              </w:rPr>
              <w:t>Thay thế</w:t>
            </w:r>
          </w:p>
        </w:tc>
        <w:tc>
          <w:tcPr>
            <w:tcW w:w="1275" w:type="dxa"/>
            <w:vAlign w:val="center"/>
          </w:tcPr>
          <w:p>
            <w:pPr>
              <w:jc w:val="both"/>
              <w:rPr>
                <w:bCs/>
                <w:iCs/>
                <w:sz w:val="26"/>
                <w:szCs w:val="26"/>
              </w:rPr>
            </w:pPr>
            <w:r>
              <w:rPr>
                <w:bCs/>
                <w:iCs/>
                <w:sz w:val="26"/>
                <w:szCs w:val="26"/>
              </w:rPr>
              <w:t>Dự kiến năm 2027</w:t>
            </w:r>
          </w:p>
        </w:tc>
        <w:tc>
          <w:tcPr>
            <w:tcW w:w="1904" w:type="dxa"/>
            <w:vAlign w:val="center"/>
          </w:tcPr>
          <w:p>
            <w:pPr>
              <w:jc w:val="both"/>
              <w:rPr>
                <w:bCs/>
                <w:iCs/>
                <w:sz w:val="26"/>
                <w:szCs w:val="26"/>
              </w:rPr>
            </w:pPr>
            <w:r>
              <w:rPr>
                <w:bCs/>
                <w:iCs/>
                <w:sz w:val="26"/>
                <w:szCs w:val="26"/>
              </w:rPr>
              <w:t xml:space="preserve">Tiêu chí 2.3 </w:t>
            </w:r>
          </w:p>
        </w:tc>
        <w:tc>
          <w:tcPr>
            <w:tcW w:w="1710" w:type="dxa"/>
            <w:vAlign w:val="center"/>
          </w:tcPr>
          <w:p>
            <w:pPr>
              <w:jc w:val="both"/>
              <w:rPr>
                <w:bCs/>
                <w:iCs/>
                <w:sz w:val="26"/>
                <w:szCs w:val="26"/>
              </w:rPr>
            </w:pPr>
            <w:r>
              <w:rPr>
                <w:bCs/>
                <w:iCs/>
                <w:sz w:val="26"/>
                <w:szCs w:val="26"/>
              </w:rPr>
              <w:t/>
            </w:r>
          </w:p>
        </w:tc>
      </w:tr>
      <w:tr>
        <w:tc>
          <w:tcPr>
            <w:tcW w:w="959" w:type="dxa"/>
            <w:vAlign w:val="center"/>
          </w:tcPr>
          <w:p>
            <w:pPr>
              <w:jc w:val="center"/>
              <w:rPr>
                <w:bCs/>
                <w:iCs/>
                <w:sz w:val="26"/>
                <w:szCs w:val="26"/>
              </w:rPr>
            </w:pPr>
            <w:r>
              <w:rPr>
                <w:bCs/>
                <w:iCs/>
                <w:sz w:val="26"/>
                <w:szCs w:val="26"/>
              </w:rPr>
              <w:t>8.</w:t>
            </w:r>
          </w:p>
        </w:tc>
        <w:tc>
          <w:tcPr>
            <w:tcW w:w="1848" w:type="dxa"/>
            <w:vAlign w:val="center"/>
          </w:tcPr>
          <w:p>
            <w:pPr>
              <w:jc w:val="both"/>
              <w:rPr>
                <w:bCs/>
                <w:iCs/>
                <w:sz w:val="26"/>
                <w:szCs w:val="26"/>
              </w:rPr>
            </w:pPr>
            <w:r>
              <w:rPr>
                <w:bCs/>
                <w:iCs/>
                <w:sz w:val="26"/>
                <w:szCs w:val="26"/>
              </w:rPr>
              <w:t>Nghị quyết số 20/2024/NQ-HĐND ngày 12/11/2024 của HĐND tỉnh Ninh Thuận Quy định các tiêu chí để quyết định thực hiện đấu thầu lựa chọn nhà đầu tư thực hiện dự án đầu tư có sử dụng đất xây dựng khu đô thị, khu dân cư nông thôn trên địa bàn tỉnh Ninh Thuận</w:t>
            </w:r>
          </w:p>
        </w:tc>
        <w:tc>
          <w:tcPr>
            <w:tcW w:w="2121" w:type="dxa"/>
            <w:vAlign w:val="center"/>
          </w:tcPr>
          <w:p>
            <w:pPr>
              <w:jc w:val="both"/>
              <w:rPr>
                <w:bCs/>
                <w:iCs/>
                <w:sz w:val="26"/>
                <w:szCs w:val="26"/>
              </w:rPr>
            </w:pPr>
            <w:r>
              <w:rPr>
                <w:bCs/>
                <w:iCs/>
                <w:sz w:val="26"/>
                <w:szCs w:val="26"/>
              </w:rPr>
              <w:t>- Luật Ban hành văn bản quy phạm pháp luật số  64/2025/QH15</w:t>
              <w:br/>
              <w:t>ngày 19/02/2025</w:t>
              <w:br/>
              <w:t>- Nghị quyết số 202/2025/QH15 của Quốc Hội ngày 12 tháng 06 năm 2025 về sắp xếp đơn vị hành chính cấp tỉnh.</w:t>
              <w:br/>
              <w:t>- Nghị định 79/2025/NĐ-CP là văn bản trực tiếp quy định về kiểm tra, rà soát, hệ thống hóa và xử lý VBQPPL.</w:t>
              <w:br/>
              <w:t>- Luật Đầu tư năm 2025</w:t>
              <w:br/>
              <w:t>- Nghị định Nghị định  số 96/2026/NĐ-CP ngày 31/3/2026 của Chính phủ.</w:t>
            </w:r>
          </w:p>
        </w:tc>
        <w:tc>
          <w:tcPr>
            <w:tcW w:w="4003" w:type="dxa"/>
            <w:vAlign w:val="center"/>
          </w:tcPr>
          <w:p>
            <w:pPr>
              <w:jc w:val="both"/>
              <w:rPr>
                <w:bCs/>
                <w:iCs/>
                <w:sz w:val="26"/>
                <w:szCs w:val="26"/>
              </w:rPr>
            </w:pPr>
            <w:r>
              <w:rPr>
                <w:bCs/>
                <w:iCs/>
                <w:sz w:val="26"/>
                <w:szCs w:val="26"/>
              </w:rPr>
              <w:t>Ngày 12/6/2025, Quốc hội ban hành Nghị quyết số 202/2025/QH15 về việc sắp xếp đơn vị hành chính cấp tỉnh; theo đó, kể từ ngày 01/7/2025 sẽ thực hiện sáp xếp toàn bộ diện tích tự nhiên, quy mô dân số của tỉnh Ninh Thuận và tỉnh Khánh Hòa thành tỉnh mới có tên gọi là tỉnh Khánh Hòa</w:t>
              <w:br/>
              <w:t>Hiện nay các căn cứ pháp lý để tham mưu ban hành Nghị quyết số 12/2024/NQ-HĐND đã hết hiệu lực. Đồng thời, nội dung của Nghị quyết này không còn phù hợp và chồng chéo mâu thuẫn với các quy định của pháp luật hiện hành có liên quan. Do đó cần ban hành văn bản thay thế (Nghị quyết số 12/2024/NQ-HĐND của Khánh Hòa và Nghị quyết số 20/2024/NQ-HĐND của Ninh Thuận)</w:t>
            </w:r>
          </w:p>
        </w:tc>
        <w:tc>
          <w:tcPr>
            <w:tcW w:w="1417" w:type="dxa"/>
            <w:vAlign w:val="center"/>
          </w:tcPr>
          <w:p>
            <w:pPr>
              <w:jc w:val="both"/>
              <w:rPr>
                <w:bCs/>
                <w:iCs/>
                <w:sz w:val="26"/>
                <w:szCs w:val="26"/>
              </w:rPr>
            </w:pPr>
            <w:r>
              <w:rPr>
                <w:bCs/>
                <w:iCs/>
                <w:sz w:val="26"/>
                <w:szCs w:val="26"/>
              </w:rPr>
              <w:t>Thay thế</w:t>
            </w:r>
          </w:p>
        </w:tc>
        <w:tc>
          <w:tcPr>
            <w:tcW w:w="1275" w:type="dxa"/>
            <w:vAlign w:val="center"/>
          </w:tcPr>
          <w:p>
            <w:pPr>
              <w:jc w:val="both"/>
              <w:rPr>
                <w:bCs/>
                <w:iCs/>
                <w:sz w:val="26"/>
                <w:szCs w:val="26"/>
              </w:rPr>
            </w:pPr>
            <w:r>
              <w:rPr>
                <w:bCs/>
                <w:iCs/>
                <w:sz w:val="26"/>
                <w:szCs w:val="26"/>
              </w:rPr>
              <w:t>Dự kiến năm 2027</w:t>
            </w:r>
          </w:p>
        </w:tc>
        <w:tc>
          <w:tcPr>
            <w:tcW w:w="1904" w:type="dxa"/>
            <w:vAlign w:val="center"/>
          </w:tcPr>
          <w:p>
            <w:pPr>
              <w:jc w:val="both"/>
              <w:rPr>
                <w:bCs/>
                <w:iCs/>
                <w:sz w:val="26"/>
                <w:szCs w:val="26"/>
              </w:rPr>
            </w:pPr>
            <w:r>
              <w:rPr>
                <w:bCs/>
                <w:iCs/>
                <w:sz w:val="26"/>
                <w:szCs w:val="26"/>
              </w:rPr>
              <w:t xml:space="preserve">Tiêu chí 2.3 </w:t>
            </w:r>
          </w:p>
        </w:tc>
        <w:tc>
          <w:tcPr>
            <w:tcW w:w="1710" w:type="dxa"/>
            <w:vAlign w:val="center"/>
          </w:tcPr>
          <w:p>
            <w:pPr>
              <w:jc w:val="both"/>
              <w:rPr>
                <w:bCs/>
                <w:iCs/>
                <w:sz w:val="26"/>
                <w:szCs w:val="26"/>
              </w:rPr>
            </w:pPr>
            <w:r>
              <w:rPr>
                <w:bCs/>
                <w:iCs/>
                <w:sz w:val="26"/>
                <w:szCs w:val="26"/>
              </w:rPr>
              <w:t/>
            </w:r>
          </w:p>
        </w:tc>
      </w:tr>
      <w:tr>
        <w:tc>
          <w:tcPr>
            <w:tcW w:w="959" w:type="dxa"/>
            <w:vAlign w:val="center"/>
          </w:tcPr>
          <w:p>
            <w:pPr>
              <w:jc w:val="center"/>
              <w:rPr>
                <w:bCs/>
                <w:iCs/>
                <w:sz w:val="26"/>
                <w:szCs w:val="26"/>
              </w:rPr>
            </w:pPr>
            <w:r>
              <w:rPr>
                <w:bCs/>
                <w:iCs/>
                <w:sz w:val="26"/>
                <w:szCs w:val="26"/>
              </w:rPr>
              <w:t>9.</w:t>
            </w:r>
          </w:p>
        </w:tc>
        <w:tc>
          <w:tcPr>
            <w:tcW w:w="1848" w:type="dxa"/>
            <w:vAlign w:val="center"/>
          </w:tcPr>
          <w:p>
            <w:pPr>
              <w:jc w:val="both"/>
              <w:rPr>
                <w:bCs/>
                <w:iCs/>
                <w:sz w:val="26"/>
                <w:szCs w:val="26"/>
              </w:rPr>
            </w:pPr>
            <w:r>
              <w:rPr>
                <w:bCs/>
                <w:iCs/>
                <w:sz w:val="26"/>
                <w:szCs w:val="26"/>
              </w:rPr>
              <w:t>Quyết định số 01/2023/QĐ-UBND ngày 05/01/2023 của UBND tỉnh Khánh Hòa Về việc ban hành Quy định chế độ báo cáo định kỳ phục vụ mục tiêu quản lý trên địa bàn tỉnh Khánh Hòa</w:t>
            </w:r>
          </w:p>
        </w:tc>
        <w:tc>
          <w:tcPr>
            <w:tcW w:w="2121" w:type="dxa"/>
            <w:vAlign w:val="center"/>
          </w:tcPr>
          <w:p>
            <w:pPr>
              <w:jc w:val="both"/>
              <w:rPr>
                <w:bCs/>
                <w:iCs/>
                <w:sz w:val="26"/>
                <w:szCs w:val="26"/>
              </w:rPr>
            </w:pPr>
            <w:r>
              <w:rPr>
                <w:bCs/>
                <w:iCs/>
                <w:sz w:val="26"/>
                <w:szCs w:val="26"/>
              </w:rPr>
              <w:t>- Luật Ban hành văn bản quy phạm pháp luật số  64/2025/QH15</w:t>
              <w:br/>
              <w:t>ngày 19/02/2025</w:t>
              <w:br/>
              <w:t>- Nghị quyết số 202/2025/QH15 của Quốc Hội ngày 12 tháng 06 năm 2025 về sắp xếp đơn vị hành chính cấp tỉnh.</w:t>
              <w:br/>
              <w:t>- Nghị định 79/2025/NĐ-CP là văn bản trực tiếp quy định về kiểm tra, rà soát, hệ thống hóa và xử lý VBQPPL.</w:t>
              <w:br/>
              <w:t>- Nghị định số 09/2019/NĐ-CP ngày 24 tháng 01 năm 2019 của Chính phủ quy định về chế độ báo cáo của cơ quan hành chính nhà nước</w:t>
            </w:r>
          </w:p>
        </w:tc>
        <w:tc>
          <w:tcPr>
            <w:tcW w:w="4003" w:type="dxa"/>
            <w:vAlign w:val="center"/>
          </w:tcPr>
          <w:p>
            <w:pPr>
              <w:jc w:val="both"/>
              <w:rPr>
                <w:bCs/>
                <w:iCs/>
                <w:sz w:val="26"/>
                <w:szCs w:val="26"/>
              </w:rPr>
            </w:pPr>
            <w:r>
              <w:rPr>
                <w:bCs/>
                <w:iCs/>
                <w:sz w:val="26"/>
                <w:szCs w:val="26"/>
              </w:rPr>
              <w:t>Ngày 12/6/2025, Quốc hội ban hành Nghị quyết số 202/2025/QH15 về việc sắp xếp đơn vị hành chính cấp tỉnh; theo đó, kể từ ngày 01/7/2025 sẽ thực hiện sáp xếp toàn bộ diện tích tự nhiên, quy mô dân số của tỉnh Ninh Thuận và tỉnh Khánh Hòa thành tỉnh mới có tên gọi là tỉnh Khánh Hòa. Do đó cần ban hành văn bản thay thế (Quyết định số 01/2023/QĐ-UBND và Quyết định số 69/2023/QĐ-UBND)</w:t>
            </w:r>
          </w:p>
        </w:tc>
        <w:tc>
          <w:tcPr>
            <w:tcW w:w="1417" w:type="dxa"/>
            <w:vAlign w:val="center"/>
          </w:tcPr>
          <w:p>
            <w:pPr>
              <w:jc w:val="both"/>
              <w:rPr>
                <w:bCs/>
                <w:iCs/>
                <w:sz w:val="26"/>
                <w:szCs w:val="26"/>
              </w:rPr>
            </w:pPr>
            <w:r>
              <w:rPr>
                <w:bCs/>
                <w:iCs/>
                <w:sz w:val="26"/>
                <w:szCs w:val="26"/>
              </w:rPr>
              <w:t>Thay thế</w:t>
            </w:r>
          </w:p>
        </w:tc>
        <w:tc>
          <w:tcPr>
            <w:tcW w:w="1275" w:type="dxa"/>
            <w:vAlign w:val="center"/>
          </w:tcPr>
          <w:p>
            <w:pPr>
              <w:jc w:val="both"/>
              <w:rPr>
                <w:bCs/>
                <w:iCs/>
                <w:sz w:val="26"/>
                <w:szCs w:val="26"/>
              </w:rPr>
            </w:pPr>
            <w:r>
              <w:rPr>
                <w:bCs/>
                <w:iCs/>
                <w:sz w:val="26"/>
                <w:szCs w:val="26"/>
              </w:rPr>
              <w:t>Dự kiến năm 2026</w:t>
            </w:r>
          </w:p>
        </w:tc>
        <w:tc>
          <w:tcPr>
            <w:tcW w:w="1904" w:type="dxa"/>
            <w:vAlign w:val="center"/>
          </w:tcPr>
          <w:p>
            <w:pPr>
              <w:jc w:val="both"/>
              <w:rPr>
                <w:bCs/>
                <w:iCs/>
                <w:sz w:val="26"/>
                <w:szCs w:val="26"/>
              </w:rPr>
            </w:pPr>
            <w:r>
              <w:rPr>
                <w:bCs/>
                <w:iCs/>
                <w:sz w:val="26"/>
                <w:szCs w:val="26"/>
              </w:rPr>
              <w:t xml:space="preserve">Tiêu chí 2.3 </w:t>
            </w:r>
          </w:p>
        </w:tc>
        <w:tc>
          <w:tcPr>
            <w:tcW w:w="1710" w:type="dxa"/>
            <w:vAlign w:val="center"/>
          </w:tcPr>
          <w:p>
            <w:pPr>
              <w:jc w:val="both"/>
              <w:rPr>
                <w:bCs/>
                <w:iCs/>
                <w:sz w:val="26"/>
                <w:szCs w:val="26"/>
              </w:rPr>
            </w:pPr>
            <w:r>
              <w:rPr>
                <w:bCs/>
                <w:iCs/>
                <w:sz w:val="26"/>
                <w:szCs w:val="26"/>
              </w:rPr>
              <w:t/>
            </w:r>
          </w:p>
        </w:tc>
      </w:tr>
      <w:tr>
        <w:tc>
          <w:tcPr>
            <w:tcW w:w="959" w:type="dxa"/>
            <w:vAlign w:val="center"/>
          </w:tcPr>
          <w:p>
            <w:pPr>
              <w:jc w:val="center"/>
              <w:rPr>
                <w:bCs/>
                <w:iCs/>
                <w:sz w:val="26"/>
                <w:szCs w:val="26"/>
              </w:rPr>
            </w:pPr>
            <w:r>
              <w:rPr>
                <w:bCs/>
                <w:iCs/>
                <w:sz w:val="26"/>
                <w:szCs w:val="26"/>
              </w:rPr>
              <w:t>10.</w:t>
            </w:r>
          </w:p>
        </w:tc>
        <w:tc>
          <w:tcPr>
            <w:tcW w:w="1848" w:type="dxa"/>
            <w:vAlign w:val="center"/>
          </w:tcPr>
          <w:p>
            <w:pPr>
              <w:jc w:val="both"/>
              <w:rPr>
                <w:bCs/>
                <w:iCs/>
                <w:sz w:val="26"/>
                <w:szCs w:val="26"/>
              </w:rPr>
            </w:pPr>
            <w:r>
              <w:rPr>
                <w:bCs/>
                <w:iCs/>
                <w:sz w:val="26"/>
                <w:szCs w:val="26"/>
              </w:rPr>
              <w:t>Quyết định số 10/2023/QĐ-UBND ngày 18/04/2023 của UBND tỉnh Khánh Hòa Quy định về quản lý, thanh toán, quyết toán vốn đầu tư nguồn ngân sách nhà nước giao cho cộng đồng dân cư hưởng lợi trực tiếp tự thực hiện xây dựng công trình theo định mức hỗ trợ (bằng hiện vật hoặc bằng tiền) thuộc các Chương trình mục tiêu quốc gia trên địa bàn tỉnh Khánh Hòa</w:t>
            </w:r>
          </w:p>
        </w:tc>
        <w:tc>
          <w:tcPr>
            <w:tcW w:w="2121" w:type="dxa"/>
            <w:vAlign w:val="center"/>
          </w:tcPr>
          <w:p>
            <w:pPr>
              <w:jc w:val="both"/>
              <w:rPr>
                <w:bCs/>
                <w:iCs/>
                <w:sz w:val="26"/>
                <w:szCs w:val="26"/>
              </w:rPr>
            </w:pPr>
            <w:r>
              <w:rPr>
                <w:bCs/>
                <w:iCs/>
                <w:sz w:val="26"/>
                <w:szCs w:val="26"/>
              </w:rPr>
              <w:t>Nghị định số 193/2026/NĐ-CP của Chính phủ quy định về quyết toán vốn đầu tư dự án</w:t>
            </w:r>
          </w:p>
        </w:tc>
        <w:tc>
          <w:tcPr>
            <w:tcW w:w="4003" w:type="dxa"/>
            <w:vAlign w:val="center"/>
          </w:tcPr>
          <w:p>
            <w:pPr>
              <w:jc w:val="both"/>
              <w:rPr>
                <w:bCs/>
                <w:iCs/>
                <w:sz w:val="26"/>
                <w:szCs w:val="26"/>
              </w:rPr>
            </w:pPr>
            <w:r>
              <w:rPr>
                <w:bCs/>
                <w:iCs/>
                <w:sz w:val="26"/>
                <w:szCs w:val="26"/>
              </w:rPr>
              <w:t>Điều chỉnh quy định để phù hợp với mô hình chính quyền địa phương 02 cấp</w:t>
            </w:r>
          </w:p>
        </w:tc>
        <w:tc>
          <w:tcPr>
            <w:tcW w:w="1417" w:type="dxa"/>
            <w:vAlign w:val="center"/>
          </w:tcPr>
          <w:p>
            <w:pPr>
              <w:jc w:val="both"/>
              <w:rPr>
                <w:bCs/>
                <w:iCs/>
                <w:sz w:val="26"/>
                <w:szCs w:val="26"/>
              </w:rPr>
            </w:pPr>
            <w:r>
              <w:rPr>
                <w:bCs/>
                <w:iCs/>
                <w:sz w:val="26"/>
                <w:szCs w:val="26"/>
              </w:rPr>
              <w:t>Thay thế</w:t>
            </w:r>
          </w:p>
        </w:tc>
        <w:tc>
          <w:tcPr>
            <w:tcW w:w="1275" w:type="dxa"/>
            <w:vAlign w:val="center"/>
          </w:tcPr>
          <w:p>
            <w:pPr>
              <w:jc w:val="both"/>
              <w:rPr>
                <w:bCs/>
                <w:iCs/>
                <w:sz w:val="26"/>
                <w:szCs w:val="26"/>
              </w:rPr>
            </w:pPr>
            <w:r>
              <w:rPr>
                <w:bCs/>
                <w:iCs/>
                <w:sz w:val="26"/>
                <w:szCs w:val="26"/>
              </w:rPr>
              <w:t>quý IV năm 2026</w:t>
            </w:r>
          </w:p>
        </w:tc>
        <w:tc>
          <w:tcPr>
            <w:tcW w:w="1904" w:type="dxa"/>
            <w:vAlign w:val="center"/>
          </w:tcPr>
          <w:p>
            <w:pPr>
              <w:jc w:val="both"/>
              <w:rPr>
                <w:bCs/>
                <w:iCs/>
                <w:sz w:val="26"/>
                <w:szCs w:val="26"/>
              </w:rPr>
            </w:pPr>
            <w:r>
              <w:rPr>
                <w:bCs/>
                <w:iCs/>
                <w:sz w:val="26"/>
                <w:szCs w:val="26"/>
              </w:rPr>
              <w:t xml:space="preserve">Tiêu chí 1.1 - Tiêu chí về tổ chức bộ máy </w:t>
            </w:r>
          </w:p>
        </w:tc>
        <w:tc>
          <w:tcPr>
            <w:tcW w:w="1710" w:type="dxa"/>
            <w:vAlign w:val="center"/>
          </w:tcPr>
          <w:p>
            <w:pPr>
              <w:jc w:val="both"/>
              <w:rPr>
                <w:bCs/>
                <w:iCs/>
                <w:sz w:val="26"/>
                <w:szCs w:val="26"/>
              </w:rPr>
            </w:pPr>
            <w:r>
              <w:rPr>
                <w:bCs/>
                <w:iCs/>
                <w:sz w:val="26"/>
                <w:szCs w:val="26"/>
              </w:rPr>
              <w:t/>
            </w:r>
          </w:p>
        </w:tc>
      </w:tr>
      <w:tr>
        <w:tc>
          <w:tcPr>
            <w:tcW w:w="959" w:type="dxa"/>
            <w:vAlign w:val="center"/>
          </w:tcPr>
          <w:p>
            <w:pPr>
              <w:jc w:val="center"/>
              <w:rPr>
                <w:bCs/>
                <w:iCs/>
                <w:sz w:val="26"/>
                <w:szCs w:val="26"/>
              </w:rPr>
            </w:pPr>
            <w:r>
              <w:rPr>
                <w:bCs/>
                <w:iCs/>
                <w:sz w:val="26"/>
                <w:szCs w:val="26"/>
              </w:rPr>
              <w:t>11.</w:t>
            </w:r>
          </w:p>
        </w:tc>
        <w:tc>
          <w:tcPr>
            <w:tcW w:w="1848" w:type="dxa"/>
            <w:vAlign w:val="center"/>
          </w:tcPr>
          <w:p>
            <w:pPr>
              <w:jc w:val="both"/>
              <w:rPr>
                <w:bCs/>
                <w:iCs/>
                <w:sz w:val="26"/>
                <w:szCs w:val="26"/>
              </w:rPr>
            </w:pPr>
            <w:r>
              <w:rPr>
                <w:bCs/>
                <w:iCs/>
                <w:sz w:val="26"/>
                <w:szCs w:val="26"/>
              </w:rPr>
              <w:t>Quyết định số 69/2023/QĐ-UBND ngày 14/09/2023 của UBND tỉnh Ninh Thuận Ban hành Quy định chế độ báo cáo định kỳ phục vụ mục tiêu quản lý trên địa bàn tỉnh Ninh Thuận</w:t>
            </w:r>
          </w:p>
        </w:tc>
        <w:tc>
          <w:tcPr>
            <w:tcW w:w="2121" w:type="dxa"/>
            <w:vAlign w:val="center"/>
          </w:tcPr>
          <w:p>
            <w:pPr>
              <w:jc w:val="both"/>
              <w:rPr>
                <w:bCs/>
                <w:iCs/>
                <w:sz w:val="26"/>
                <w:szCs w:val="26"/>
              </w:rPr>
            </w:pPr>
            <w:r>
              <w:rPr>
                <w:bCs/>
                <w:iCs/>
                <w:sz w:val="26"/>
                <w:szCs w:val="26"/>
              </w:rPr>
              <w:t>- Luật Ban hành văn bản quy phạm pháp luật số  64/2025/QH15</w:t>
              <w:br/>
              <w:t>ngày 19/02/2025</w:t>
              <w:br/>
              <w:t>- Nghị quyết số 202/2025/QH15 của Quốc Hội ngày 12 tháng 06 năm 2025 về sắp xếp đơn vị hành chính cấp tỉnh.</w:t>
              <w:br/>
              <w:t>- Nghị định 79/2025/NĐ-CP là văn bản trực tiếp quy định về kiểm tra, rà soát, hệ thống hóa và xử lý VBQPPL.</w:t>
              <w:br/>
              <w:t>- Nghị định số 09/2019/NĐ-CP ngày 24 tháng 01 năm 2019 của Chính phủ quy định về chế độ báo cáo của cơ quan hành chính nhà nước</w:t>
            </w:r>
          </w:p>
        </w:tc>
        <w:tc>
          <w:tcPr>
            <w:tcW w:w="4003" w:type="dxa"/>
            <w:vAlign w:val="center"/>
          </w:tcPr>
          <w:p>
            <w:pPr>
              <w:jc w:val="both"/>
              <w:rPr>
                <w:bCs/>
                <w:iCs/>
                <w:sz w:val="26"/>
                <w:szCs w:val="26"/>
              </w:rPr>
            </w:pPr>
            <w:r>
              <w:rPr>
                <w:bCs/>
                <w:iCs/>
                <w:sz w:val="26"/>
                <w:szCs w:val="26"/>
              </w:rPr>
              <w:t>Ngày 12/6/2025, Quốc hội ban hành Nghị quyết số 202/2025/QH15 về việc sắp xếp đơn vị hành chính cấp tỉnh; theo đó, kể từ ngày 01/7/2025 sẽ thực hiện sáp xếp toàn bộ diện tích tự nhiên, quy mô dân số của tỉnh Ninh Thuận và tỉnh Khánh Hòa thành tỉnh mới có tên gọi là tỉnh Khánh Hòa. Do đó cần ban hành văn bản thay thế (Quyết định số 01/2023/QĐ-UBND và Quyết định số 69/2023/QĐ-UBND)</w:t>
            </w:r>
          </w:p>
        </w:tc>
        <w:tc>
          <w:tcPr>
            <w:tcW w:w="1417" w:type="dxa"/>
            <w:vAlign w:val="center"/>
          </w:tcPr>
          <w:p>
            <w:pPr>
              <w:jc w:val="both"/>
              <w:rPr>
                <w:bCs/>
                <w:iCs/>
                <w:sz w:val="26"/>
                <w:szCs w:val="26"/>
              </w:rPr>
            </w:pPr>
            <w:r>
              <w:rPr>
                <w:bCs/>
                <w:iCs/>
                <w:sz w:val="26"/>
                <w:szCs w:val="26"/>
              </w:rPr>
              <w:t>Thay thế</w:t>
            </w:r>
          </w:p>
        </w:tc>
        <w:tc>
          <w:tcPr>
            <w:tcW w:w="1275" w:type="dxa"/>
            <w:vAlign w:val="center"/>
          </w:tcPr>
          <w:p>
            <w:pPr>
              <w:jc w:val="both"/>
              <w:rPr>
                <w:bCs/>
                <w:iCs/>
                <w:sz w:val="26"/>
                <w:szCs w:val="26"/>
              </w:rPr>
            </w:pPr>
            <w:r>
              <w:rPr>
                <w:bCs/>
                <w:iCs/>
                <w:sz w:val="26"/>
                <w:szCs w:val="26"/>
              </w:rPr>
              <w:t>Dự kiến năm 2026</w:t>
            </w:r>
          </w:p>
        </w:tc>
        <w:tc>
          <w:tcPr>
            <w:tcW w:w="1904" w:type="dxa"/>
            <w:vAlign w:val="center"/>
          </w:tcPr>
          <w:p>
            <w:pPr>
              <w:jc w:val="both"/>
              <w:rPr>
                <w:bCs/>
                <w:iCs/>
                <w:sz w:val="26"/>
                <w:szCs w:val="26"/>
              </w:rPr>
            </w:pPr>
            <w:r>
              <w:rPr>
                <w:bCs/>
                <w:iCs/>
                <w:sz w:val="26"/>
                <w:szCs w:val="26"/>
              </w:rPr>
              <w:t xml:space="preserve">Tiêu chí 2.3 </w:t>
            </w:r>
          </w:p>
        </w:tc>
        <w:tc>
          <w:tcPr>
            <w:tcW w:w="1710" w:type="dxa"/>
            <w:vAlign w:val="center"/>
          </w:tcPr>
          <w:p>
            <w:pPr>
              <w:jc w:val="both"/>
              <w:rPr>
                <w:bCs/>
                <w:iCs/>
                <w:sz w:val="26"/>
                <w:szCs w:val="26"/>
              </w:rPr>
            </w:pPr>
            <w:r>
              <w:rPr>
                <w:bCs/>
                <w:iCs/>
                <w:sz w:val="26"/>
                <w:szCs w:val="26"/>
              </w:rPr>
              <w:t/>
            </w:r>
          </w:p>
        </w:tc>
      </w:tr>
      <w:tr>
        <w:tc>
          <w:tcPr>
            <w:tcW w:w="959" w:type="dxa"/>
            <w:vAlign w:val="center"/>
          </w:tcPr>
          <w:p>
            <w:pPr>
              <w:jc w:val="center"/>
              <w:rPr>
                <w:bCs/>
                <w:iCs/>
                <w:sz w:val="26"/>
                <w:szCs w:val="26"/>
              </w:rPr>
            </w:pPr>
            <w:r>
              <w:rPr>
                <w:bCs/>
                <w:iCs/>
                <w:sz w:val="26"/>
                <w:szCs w:val="26"/>
              </w:rPr>
              <w:t>12.</w:t>
            </w:r>
          </w:p>
        </w:tc>
        <w:tc>
          <w:tcPr>
            <w:tcW w:w="1848" w:type="dxa"/>
            <w:vAlign w:val="center"/>
          </w:tcPr>
          <w:p>
            <w:pPr>
              <w:jc w:val="both"/>
              <w:rPr>
                <w:bCs/>
                <w:iCs/>
                <w:sz w:val="26"/>
                <w:szCs w:val="26"/>
              </w:rPr>
            </w:pPr>
            <w:r>
              <w:rPr>
                <w:bCs/>
                <w:iCs/>
                <w:sz w:val="26"/>
                <w:szCs w:val="26"/>
              </w:rPr>
              <w:t>Quyết định số 44/2025/QĐ-UBND ngày 31/12/2025 của UBND tỉnh Khánh Hòa về việc phân cấp thẩm quyền quyết định về tiêu chuẩn, định mức sử dụng máy móc, thiết bị tại các cơ quan, tổ chức, đơn vị thuộc phạm vi quản lý của tỉnh Khánh Hòa</w:t>
            </w:r>
          </w:p>
        </w:tc>
        <w:tc>
          <w:tcPr>
            <w:tcW w:w="2121" w:type="dxa"/>
            <w:vAlign w:val="center"/>
          </w:tcPr>
          <w:p>
            <w:pPr>
              <w:jc w:val="both"/>
              <w:rPr>
                <w:bCs/>
                <w:iCs/>
                <w:sz w:val="26"/>
                <w:szCs w:val="26"/>
              </w:rPr>
            </w:pPr>
            <w:r>
              <w:rPr>
                <w:bCs/>
                <w:iCs/>
                <w:sz w:val="26"/>
                <w:szCs w:val="26"/>
              </w:rPr>
              <w:t>Quyết định số 10/2026/QĐ-TTg ngày 09/3/2026 của Thủ tướng Chính phủ sửa đổi, bổ sung một số điều của Quyết định số 15/2025/QĐ-TTg ngày 14/6/2025 của Thủ tướng Chính phủ quy định tiêu chuẩn, định mức sử dụng máy móc, thiết bị</w:t>
            </w:r>
          </w:p>
        </w:tc>
        <w:tc>
          <w:tcPr>
            <w:tcW w:w="4003" w:type="dxa"/>
            <w:vAlign w:val="center"/>
          </w:tcPr>
          <w:p>
            <w:pPr>
              <w:jc w:val="both"/>
              <w:rPr>
                <w:bCs/>
                <w:iCs/>
                <w:sz w:val="26"/>
                <w:szCs w:val="26"/>
              </w:rPr>
            </w:pPr>
            <w:r>
              <w:rPr>
                <w:bCs/>
                <w:iCs/>
                <w:sz w:val="26"/>
                <w:szCs w:val="26"/>
              </w:rPr>
              <w:t>Điều chỉnh về phân cấp thẩm quyền quyết định về tiêu chuẩn, định mức sử dụng máy móc, thiết bị tại các cơ quan, tổ chức, đơn vị thuộc phạm vi quản lý của tỉnh Khánh Hòa</w:t>
            </w:r>
          </w:p>
        </w:tc>
        <w:tc>
          <w:tcPr>
            <w:tcW w:w="1417" w:type="dxa"/>
            <w:vAlign w:val="center"/>
          </w:tcPr>
          <w:p>
            <w:pPr>
              <w:jc w:val="both"/>
              <w:rPr>
                <w:bCs/>
                <w:iCs/>
                <w:sz w:val="26"/>
                <w:szCs w:val="26"/>
              </w:rPr>
            </w:pPr>
            <w:r>
              <w:rPr>
                <w:bCs/>
                <w:iCs/>
                <w:sz w:val="26"/>
                <w:szCs w:val="26"/>
              </w:rPr>
              <w:t>Sửa đổi, bổ sung</w:t>
            </w:r>
          </w:p>
        </w:tc>
        <w:tc>
          <w:tcPr>
            <w:tcW w:w="1275" w:type="dxa"/>
            <w:vAlign w:val="center"/>
          </w:tcPr>
          <w:p>
            <w:pPr>
              <w:jc w:val="both"/>
              <w:rPr>
                <w:bCs/>
                <w:iCs/>
                <w:sz w:val="26"/>
                <w:szCs w:val="26"/>
              </w:rPr>
            </w:pPr>
            <w:r>
              <w:rPr>
                <w:bCs/>
                <w:iCs/>
                <w:sz w:val="26"/>
                <w:szCs w:val="26"/>
              </w:rPr>
              <w:t>Dự kiến năm 2026</w:t>
            </w:r>
          </w:p>
        </w:tc>
        <w:tc>
          <w:tcPr>
            <w:tcW w:w="1904" w:type="dxa"/>
            <w:vAlign w:val="center"/>
          </w:tcPr>
          <w:p>
            <w:pPr>
              <w:jc w:val="both"/>
              <w:rPr>
                <w:bCs/>
                <w:iCs/>
                <w:sz w:val="26"/>
                <w:szCs w:val="26"/>
              </w:rPr>
            </w:pPr>
            <w:r>
              <w:rPr>
                <w:bCs/>
                <w:iCs/>
                <w:sz w:val="26"/>
                <w:szCs w:val="26"/>
              </w:rPr>
              <w:t xml:space="preserve">Tiêu chí 2.3 </w:t>
            </w:r>
          </w:p>
        </w:tc>
        <w:tc>
          <w:tcPr>
            <w:tcW w:w="1710" w:type="dxa"/>
            <w:vAlign w:val="center"/>
          </w:tcPr>
          <w:p>
            <w:pPr>
              <w:jc w:val="both"/>
              <w:rPr>
                <w:bCs/>
                <w:iCs/>
                <w:sz w:val="26"/>
                <w:szCs w:val="26"/>
              </w:rPr>
            </w:pPr>
            <w:r>
              <w:rPr>
                <w:bCs/>
                <w:iCs/>
                <w:sz w:val="26"/>
                <w:szCs w:val="26"/>
              </w:rPr>
              <w:t/>
            </w:r>
          </w:p>
        </w:tc>
      </w:tr>
      <w:tr>
        <w:tc>
          <w:tcPr>
            <w:tcW w:w="959" w:type="dxa"/>
            <w:vAlign w:val="center"/>
          </w:tcPr>
          <w:p>
            <w:pPr>
              <w:jc w:val="center"/>
              <w:rPr>
                <w:bCs/>
                <w:iCs/>
                <w:sz w:val="26"/>
                <w:szCs w:val="26"/>
              </w:rPr>
            </w:pPr>
            <w:r>
              <w:rPr>
                <w:bCs/>
                <w:iCs/>
                <w:sz w:val="26"/>
                <w:szCs w:val="26"/>
              </w:rPr>
              <w:t>13.</w:t>
            </w:r>
          </w:p>
        </w:tc>
        <w:tc>
          <w:tcPr>
            <w:tcW w:w="1848" w:type="dxa"/>
            <w:vAlign w:val="center"/>
          </w:tcPr>
          <w:p>
            <w:pPr>
              <w:jc w:val="both"/>
              <w:rPr>
                <w:bCs/>
                <w:iCs/>
                <w:sz w:val="26"/>
                <w:szCs w:val="26"/>
              </w:rPr>
            </w:pPr>
            <w:r>
              <w:rPr>
                <w:bCs/>
                <w:iCs/>
                <w:sz w:val="26"/>
                <w:szCs w:val="26"/>
              </w:rPr>
              <w:t>Quyết định số 18/2026/QĐ- CTUBND ngày 03/03/2026 của Chủ tịch UBND tỉnh Khánh Hòa về việc phân cấp thẩm quyền quyết định xác lập quyền sở hữu toàn dân về tài sản và phê duyệt phương án xử lý tài sản được xác lập quyền sở hữu toàn dân thuộc phạm vi quản lý của tỉnh Khánh Hòa</w:t>
            </w:r>
          </w:p>
        </w:tc>
        <w:tc>
          <w:tcPr>
            <w:tcW w:w="2121" w:type="dxa"/>
            <w:vAlign w:val="center"/>
          </w:tcPr>
          <w:p>
            <w:pPr>
              <w:jc w:val="both"/>
              <w:rPr>
                <w:bCs/>
                <w:iCs/>
                <w:sz w:val="26"/>
                <w:szCs w:val="26"/>
              </w:rPr>
            </w:pPr>
            <w:r>
              <w:rPr>
                <w:bCs/>
                <w:iCs/>
                <w:sz w:val="26"/>
                <w:szCs w:val="26"/>
              </w:rPr>
              <w:t>- Nghị định số 152/2026/NĐ-CP ngày 13/5/2026 của Chính phủ quy định chi tiết một số điều và biện pháp thi hành Luật Thi hành án dân sự; theo đó, tại khoản 1 Điều 113 quy định sửa đổi, bổ sung khoản 2 Điều 5 Nghị định số 77/2025/NĐ-CP ngày 01/4/2025 của Chính phủ quy định thẩm quyền, thủ tục xác lập quyền sở hữu toàn dân về tài sản và xử lý đối với tài sản được xác lập quyền sở hữu toàn dân</w:t>
            </w:r>
          </w:p>
        </w:tc>
        <w:tc>
          <w:tcPr>
            <w:tcW w:w="4003" w:type="dxa"/>
            <w:vAlign w:val="center"/>
          </w:tcPr>
          <w:p>
            <w:pPr>
              <w:jc w:val="both"/>
              <w:rPr>
                <w:bCs/>
                <w:iCs/>
                <w:sz w:val="26"/>
                <w:szCs w:val="26"/>
              </w:rPr>
            </w:pPr>
            <w:r>
              <w:rPr>
                <w:bCs/>
                <w:iCs/>
                <w:sz w:val="26"/>
                <w:szCs w:val="26"/>
              </w:rPr>
              <w:t>Điều chỉnh về phân cấp thẩm quyền quyết định xác lập quyền sở hữu toàn dân về tài sản và phê duyệt phương án xử lý tài sản được xác lập quyền sở hữu toàn dân thuộc phạm vi quản lý của tỉnh Khánh Hòa</w:t>
            </w:r>
          </w:p>
        </w:tc>
        <w:tc>
          <w:tcPr>
            <w:tcW w:w="1417" w:type="dxa"/>
            <w:vAlign w:val="center"/>
          </w:tcPr>
          <w:p>
            <w:pPr>
              <w:jc w:val="both"/>
              <w:rPr>
                <w:bCs/>
                <w:iCs/>
                <w:sz w:val="26"/>
                <w:szCs w:val="26"/>
              </w:rPr>
            </w:pPr>
            <w:r>
              <w:rPr>
                <w:bCs/>
                <w:iCs/>
                <w:sz w:val="26"/>
                <w:szCs w:val="26"/>
              </w:rPr>
              <w:t>Sửa đổi, bổ sung</w:t>
            </w:r>
          </w:p>
        </w:tc>
        <w:tc>
          <w:tcPr>
            <w:tcW w:w="1275" w:type="dxa"/>
            <w:vAlign w:val="center"/>
          </w:tcPr>
          <w:p>
            <w:pPr>
              <w:jc w:val="both"/>
              <w:rPr>
                <w:bCs/>
                <w:iCs/>
                <w:sz w:val="26"/>
                <w:szCs w:val="26"/>
              </w:rPr>
            </w:pPr>
            <w:r>
              <w:rPr>
                <w:bCs/>
                <w:iCs/>
                <w:sz w:val="26"/>
                <w:szCs w:val="26"/>
              </w:rPr>
              <w:t>Dự kiến năm 2026</w:t>
            </w:r>
          </w:p>
        </w:tc>
        <w:tc>
          <w:tcPr>
            <w:tcW w:w="1904" w:type="dxa"/>
            <w:vAlign w:val="center"/>
          </w:tcPr>
          <w:p>
            <w:pPr>
              <w:jc w:val="both"/>
              <w:rPr>
                <w:bCs/>
                <w:iCs/>
                <w:sz w:val="26"/>
                <w:szCs w:val="26"/>
              </w:rPr>
            </w:pPr>
            <w:r>
              <w:rPr>
                <w:bCs/>
                <w:iCs/>
                <w:sz w:val="26"/>
                <w:szCs w:val="26"/>
              </w:rPr>
              <w:t xml:space="preserve">Tiêu chí 2.3 </w:t>
            </w:r>
          </w:p>
        </w:tc>
        <w:tc>
          <w:tcPr>
            <w:tcW w:w="1710" w:type="dxa"/>
            <w:vAlign w:val="center"/>
          </w:tcPr>
          <w:p>
            <w:pPr>
              <w:jc w:val="both"/>
              <w:rPr>
                <w:bCs/>
                <w:iCs/>
                <w:sz w:val="26"/>
                <w:szCs w:val="26"/>
              </w:rPr>
            </w:pPr>
            <w:r>
              <w:rPr>
                <w:bCs/>
                <w:iCs/>
                <w:sz w:val="26"/>
                <w:szCs w:val="26"/>
              </w:rPr>
              <w:t/>
            </w:r>
          </w:p>
        </w:tc>
      </w:tr>
      <w:tr w14:paraId="330AE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7" w:type="dxa"/>
            <w:gridSpan w:val="8"/>
            <w:shd w:val="clear" w:color="auto" w:fill="F7CAAC" w:themeFill="accent2" w:themeFillTint="66"/>
            <w:vAlign w:val="center"/>
          </w:tcPr>
          <w:p w14:paraId="22C9C2D3">
            <w:pPr>
              <w:spacing w:before="120" w:after="120"/>
              <w:jc w:val="center"/>
              <w:rPr>
                <w:bCs/>
                <w:iCs/>
                <w:sz w:val="26"/>
                <w:szCs w:val="26"/>
              </w:rPr>
            </w:pPr>
            <w:bookmarkStart w:id="3" w:name="_GoBack"/>
            <w:bookmarkEnd w:id="3"/>
            <w:r>
              <w:rPr>
                <w:b/>
                <w:sz w:val="26"/>
                <w:szCs w:val="26"/>
              </w:rPr>
              <w:t>Tổng số: 13 văn bản</w:t>
            </w:r>
          </w:p>
        </w:tc>
      </w:tr>
    </w:tbl>
    <w:p w14:paraId="61CDCEAD">
      <w:pPr>
        <w:jc w:val="center"/>
        <w:rPr>
          <w:b/>
          <w:i/>
          <w:iCs/>
          <w:sz w:val="26"/>
          <w:szCs w:val="26"/>
        </w:rPr>
      </w:pPr>
    </w:p>
    <w:p w14:paraId="63BDD842">
      <w:pPr>
        <w:shd w:val="clear" w:color="auto" w:fill="FFFFFF"/>
        <w:spacing w:before="120" w:after="120" w:line="360" w:lineRule="exact"/>
        <w:jc w:val="both"/>
        <w:rPr>
          <w:b/>
          <w:bCs/>
          <w:szCs w:val="28"/>
        </w:rPr>
      </w:pPr>
      <w:r>
        <w:rPr>
          <w:b/>
          <w:bCs/>
          <w:szCs w:val="28"/>
        </w:rPr>
        <w:t>CÁC THÔNG TIN ĐIỀN TRONG PHỤ LỤC:</w:t>
      </w:r>
    </w:p>
    <w:p w14:paraId="24B58DED">
      <w:pPr>
        <w:shd w:val="clear" w:color="auto" w:fill="FFFFFF"/>
        <w:spacing w:before="120" w:after="120" w:line="360" w:lineRule="exact"/>
        <w:jc w:val="both"/>
        <w:rPr>
          <w:szCs w:val="28"/>
        </w:rPr>
      </w:pPr>
      <w:r>
        <w:rPr>
          <w:b/>
          <w:i/>
          <w:szCs w:val="28"/>
        </w:rPr>
        <w:t>- Cơ quan rà soát:</w:t>
      </w:r>
      <w:r>
        <w:rPr>
          <w:szCs w:val="28"/>
        </w:rPr>
        <w:t xml:space="preserve"> Điền tên</w:t>
      </w:r>
      <w:r>
        <w:rPr>
          <w:szCs w:val="28"/>
          <w:lang w:val="vi-VN"/>
        </w:rPr>
        <w:t xml:space="preserve"> của</w:t>
      </w:r>
      <w:r>
        <w:rPr>
          <w:szCs w:val="28"/>
        </w:rPr>
        <w:t xml:space="preserve"> cơ quan rà soát (Ví dụ: UBND thành phố Hà Nội, UBND tỉnh Quảng Ninh).</w:t>
      </w:r>
    </w:p>
    <w:p w14:paraId="64128BFF">
      <w:pPr>
        <w:shd w:val="clear" w:color="auto" w:fill="FFFFFF"/>
        <w:spacing w:before="120" w:after="120" w:line="360" w:lineRule="exact"/>
        <w:jc w:val="both"/>
        <w:rPr>
          <w:szCs w:val="28"/>
        </w:rPr>
      </w:pPr>
      <w:r>
        <w:rPr>
          <w:b/>
          <w:bCs/>
          <w:i/>
          <w:iCs/>
          <w:szCs w:val="28"/>
        </w:rPr>
        <w:t>- Cột (2):</w:t>
      </w:r>
      <w:r>
        <w:rPr>
          <w:szCs w:val="28"/>
        </w:rPr>
        <w:t xml:space="preserve"> </w:t>
      </w:r>
    </w:p>
    <w:p w14:paraId="369199BE">
      <w:pPr>
        <w:shd w:val="clear" w:color="auto" w:fill="FFFFFF"/>
        <w:spacing w:before="120" w:after="120" w:line="360" w:lineRule="exact"/>
        <w:ind w:firstLine="567"/>
        <w:jc w:val="both"/>
        <w:rPr>
          <w:szCs w:val="28"/>
          <w:lang w:val="vi-VN"/>
        </w:rPr>
      </w:pPr>
      <w:r>
        <w:rPr>
          <w:szCs w:val="28"/>
        </w:rPr>
        <w:t>+ Điền tên văn bản được rà soát (</w:t>
      </w:r>
      <w:r>
        <w:rPr>
          <w:szCs w:val="28"/>
          <w:lang w:val="vi-VN"/>
        </w:rPr>
        <w:t xml:space="preserve">Ghi rõ </w:t>
      </w:r>
      <w:r>
        <w:rPr>
          <w:szCs w:val="28"/>
        </w:rPr>
        <w:t>tên loại; số, ký hiệu; ngày, tháng, năm ban hành; tên cơ quan ban hành; trích yếu văn bản)</w:t>
      </w:r>
      <w:r>
        <w:rPr>
          <w:szCs w:val="28"/>
          <w:lang w:val="vi-VN"/>
        </w:rPr>
        <w:t>. Trường hợp văn bản được rà soát đã được sửa đổi, bổ sung, bãi bỏ một phần thì ngay sau trích yếu văn bản ghi: “(đã được sửa đổi, bổ sung)”.</w:t>
      </w:r>
    </w:p>
    <w:p w14:paraId="0AC3DB47">
      <w:pPr>
        <w:shd w:val="clear" w:color="auto" w:fill="FFFFFF"/>
        <w:spacing w:before="120" w:after="120" w:line="360" w:lineRule="exact"/>
        <w:ind w:firstLine="567"/>
        <w:jc w:val="both"/>
        <w:rPr>
          <w:szCs w:val="28"/>
          <w:lang w:val="vi-VN"/>
        </w:rPr>
      </w:pPr>
      <w:r>
        <w:rPr>
          <w:szCs w:val="28"/>
          <w:lang w:val="vi-VN"/>
        </w:rPr>
        <w:t xml:space="preserve">Ví dụ: </w:t>
      </w:r>
      <w:r>
        <w:rPr>
          <w:szCs w:val="28"/>
          <w:shd w:val="clear" w:color="auto" w:fill="FFFFFF"/>
          <w:lang w:val="vi-VN"/>
        </w:rPr>
        <w:t>Quyết định số </w:t>
      </w:r>
      <w:r>
        <w:fldChar w:fldCharType="begin"/>
      </w:r>
      <w:r>
        <w:rPr>
          <w:lang w:val="vi-VN"/>
        </w:rPr>
        <w:instrText xml:space="preserve"> HYPERLINK "https://vbpl.vn/hanoi/pages/vbpq-timkiem.aspx?type=0&amp;s=1&amp;Keyword=33/2025/Q%C4%90-UBND&amp;SearchIn=Title,Title1&amp;IsRec=1&amp;pv=1" \t "_blank" </w:instrText>
      </w:r>
      <w:r>
        <w:fldChar w:fldCharType="separate"/>
      </w:r>
      <w:r>
        <w:rPr>
          <w:szCs w:val="28"/>
          <w:shd w:val="clear" w:color="auto" w:fill="FFFFFF"/>
          <w:lang w:val="vi-VN"/>
        </w:rPr>
        <w:t>33/2025/QĐ-UBND</w:t>
      </w:r>
      <w:r>
        <w:rPr>
          <w:szCs w:val="28"/>
          <w:shd w:val="clear" w:color="auto" w:fill="FFFFFF"/>
        </w:rPr>
        <w:fldChar w:fldCharType="end"/>
      </w:r>
      <w:r>
        <w:rPr>
          <w:szCs w:val="28"/>
          <w:shd w:val="clear" w:color="auto" w:fill="FFFFFF"/>
          <w:lang w:val="vi-VN"/>
        </w:rPr>
        <w:t> ngày 21/4/2025 của UBND thành phố Hà Nội về việc ban hành khung giá dịch vụ quản lý vận hành nhà chung cư trên địa bàn thành phố Hà Nội</w:t>
      </w:r>
      <w:r>
        <w:rPr>
          <w:szCs w:val="28"/>
          <w:lang w:val="vi-VN"/>
        </w:rPr>
        <w:t xml:space="preserve"> (đã được sửa đổi, bổ sung).</w:t>
      </w:r>
    </w:p>
    <w:p w14:paraId="16BFF0B0">
      <w:pPr>
        <w:shd w:val="clear" w:color="auto" w:fill="FFFFFF"/>
        <w:spacing w:before="120" w:after="120" w:line="360" w:lineRule="exact"/>
        <w:ind w:firstLine="567"/>
        <w:jc w:val="both"/>
        <w:rPr>
          <w:szCs w:val="28"/>
          <w:lang w:val="vi-VN"/>
        </w:rPr>
      </w:pPr>
      <w:r>
        <w:rPr>
          <w:szCs w:val="28"/>
          <w:lang w:val="vi-VN"/>
        </w:rPr>
        <w:t xml:space="preserve">+ Các VBQPPL trong cùng 01 lĩnh vực được sắp xếp theo tiêu chí: (i) </w:t>
      </w:r>
      <w:r>
        <w:rPr>
          <w:bCs/>
          <w:iCs/>
          <w:szCs w:val="28"/>
          <w:lang w:val="vi-VN"/>
        </w:rPr>
        <w:t xml:space="preserve">Văn bản có hiệu lực pháp lý cao hơn đến văn bản có hiệu lực pháp lý thấp hơn; (ii) </w:t>
      </w:r>
      <w:r>
        <w:rPr>
          <w:szCs w:val="28"/>
          <w:lang w:val="vi-VN"/>
        </w:rPr>
        <w:t>Thời gian ban hành văn bản (cùng hình thức văn bản) từ văn bản được ban hành trước đến văn bản được ban hành sau.</w:t>
      </w:r>
    </w:p>
    <w:p w14:paraId="5C8144C3">
      <w:pPr>
        <w:shd w:val="clear" w:color="auto" w:fill="FFFFFF"/>
        <w:spacing w:before="120" w:after="120" w:line="360" w:lineRule="exact"/>
        <w:jc w:val="both"/>
        <w:rPr>
          <w:szCs w:val="28"/>
          <w:lang w:val="vi-VN"/>
        </w:rPr>
      </w:pPr>
      <w:r>
        <w:rPr>
          <w:b/>
          <w:bCs/>
          <w:i/>
          <w:iCs/>
          <w:szCs w:val="28"/>
          <w:lang w:val="vi-VN"/>
        </w:rPr>
        <w:t>- Cột (3):</w:t>
      </w:r>
      <w:r>
        <w:rPr>
          <w:szCs w:val="28"/>
          <w:lang w:val="vi-VN"/>
        </w:rPr>
        <w:t xml:space="preserve"> Điền căn cứ rà soát cho từng nội dung, quy định của văn bản cần phải xử lý. Căn cứ rà soát theo hướng dẫn tại Mục VI.3 Tài liệu hướng dẫn, trong đó, ghi rõ thông tin về tên văn bản, tài liệu là căn cứ rà soát (nếu có).</w:t>
      </w:r>
    </w:p>
    <w:p w14:paraId="6637C8DA">
      <w:pPr>
        <w:shd w:val="clear" w:color="auto" w:fill="FFFFFF"/>
        <w:spacing w:before="120" w:after="120" w:line="360" w:lineRule="exact"/>
        <w:jc w:val="both"/>
        <w:rPr>
          <w:b/>
          <w:bCs/>
          <w:i/>
          <w:iCs/>
          <w:szCs w:val="28"/>
          <w:lang w:val="vi-VN"/>
        </w:rPr>
      </w:pPr>
      <w:r>
        <w:rPr>
          <w:b/>
          <w:bCs/>
          <w:i/>
          <w:iCs/>
          <w:szCs w:val="28"/>
          <w:lang w:val="vi-VN"/>
        </w:rPr>
        <w:t xml:space="preserve">- Cột (4): </w:t>
      </w:r>
      <w:r>
        <w:rPr>
          <w:szCs w:val="28"/>
          <w:lang w:val="vi-VN"/>
        </w:rPr>
        <w:t>Điền nội dung phân tích các nội dung, quy định của văn bản cần phải xử lý sau khi đối chiếu với các căn cứ rà soát theo các tiêu chí rà soát (được hướng dẫn tại Mục VI.4 Tài liệu hướng dẫn). Mỗi nội dung, quy định của văn bản được rà soát được điền tại 01 dòng khác nhau.</w:t>
      </w:r>
    </w:p>
    <w:p w14:paraId="05212F23">
      <w:pPr>
        <w:shd w:val="clear" w:color="auto" w:fill="FFFFFF"/>
        <w:spacing w:before="120" w:after="120" w:line="360" w:lineRule="exact"/>
        <w:jc w:val="both"/>
        <w:rPr>
          <w:b/>
          <w:szCs w:val="28"/>
          <w:lang w:val="vi-VN"/>
        </w:rPr>
      </w:pPr>
      <w:r>
        <w:rPr>
          <w:b/>
          <w:bCs/>
          <w:i/>
          <w:iCs/>
          <w:szCs w:val="28"/>
          <w:lang w:val="vi-VN"/>
        </w:rPr>
        <w:t xml:space="preserve">- Cột (5): </w:t>
      </w:r>
      <w:r>
        <w:rPr>
          <w:szCs w:val="28"/>
          <w:lang w:val="vi-VN"/>
        </w:rPr>
        <w:t>Điền một trong các hình thức xử lý văn bản</w:t>
      </w:r>
      <w:r>
        <w:rPr>
          <w:b/>
          <w:szCs w:val="28"/>
          <w:lang w:val="vi-VN"/>
        </w:rPr>
        <w:t xml:space="preserve"> </w:t>
      </w:r>
      <w:r>
        <w:rPr>
          <w:szCs w:val="28"/>
          <w:lang w:val="vi-VN"/>
        </w:rPr>
        <w:t xml:space="preserve">được rà soát gồm: </w:t>
      </w:r>
      <w:r>
        <w:rPr>
          <w:b/>
          <w:szCs w:val="28"/>
          <w:lang w:val="vi-VN"/>
        </w:rPr>
        <w:t>bãi bỏ một phần; thay thế; sửa đổi, bổ sung.</w:t>
      </w:r>
    </w:p>
    <w:p w14:paraId="651A0051">
      <w:pPr>
        <w:shd w:val="clear" w:color="auto" w:fill="FFFFFF"/>
        <w:spacing w:before="120" w:after="120" w:line="360" w:lineRule="exact"/>
        <w:jc w:val="both"/>
        <w:rPr>
          <w:szCs w:val="28"/>
          <w:lang w:val="vi-VN"/>
        </w:rPr>
      </w:pPr>
      <w:r>
        <w:rPr>
          <w:b/>
          <w:bCs/>
          <w:i/>
          <w:iCs/>
          <w:szCs w:val="28"/>
          <w:lang w:val="vi-VN"/>
        </w:rPr>
        <w:t xml:space="preserve">- Cột (6): </w:t>
      </w:r>
      <w:r>
        <w:rPr>
          <w:szCs w:val="28"/>
          <w:lang w:val="vi-VN"/>
        </w:rPr>
        <w:t>Điền lộ trình xử lý.</w:t>
      </w:r>
    </w:p>
    <w:p w14:paraId="318B22E1">
      <w:pPr>
        <w:shd w:val="clear" w:color="auto" w:fill="FFFFFF"/>
        <w:spacing w:before="120" w:after="120" w:line="360" w:lineRule="exact"/>
        <w:jc w:val="both"/>
        <w:rPr>
          <w:spacing w:val="-4"/>
          <w:szCs w:val="28"/>
          <w:lang w:val="nl-NL"/>
        </w:rPr>
      </w:pPr>
      <w:r>
        <w:rPr>
          <w:b/>
          <w:bCs/>
          <w:i/>
          <w:iCs/>
          <w:spacing w:val="-4"/>
          <w:szCs w:val="28"/>
          <w:lang w:val="vi-VN"/>
        </w:rPr>
        <w:t xml:space="preserve">- Cột (7): </w:t>
      </w:r>
      <w:r>
        <w:rPr>
          <w:spacing w:val="-4"/>
          <w:szCs w:val="28"/>
          <w:lang w:val="vi-VN"/>
        </w:rPr>
        <w:t xml:space="preserve">Điền tiêu chí rà soát tương ứng với từng nội dung, quy định của văn bản được rà soát cần phải xử lý. (Ví dụ: </w:t>
      </w:r>
      <w:r>
        <w:rPr>
          <w:spacing w:val="-4"/>
          <w:szCs w:val="28"/>
          <w:lang w:val="nl-NL"/>
        </w:rPr>
        <w:t>Tiêu chí 2).</w:t>
      </w:r>
    </w:p>
    <w:p w14:paraId="41C5EA74">
      <w:pPr>
        <w:spacing w:before="120" w:after="120" w:line="360" w:lineRule="exact"/>
        <w:ind w:firstLine="567"/>
        <w:jc w:val="both"/>
        <w:rPr>
          <w:lang w:val="nl-NL"/>
        </w:rPr>
      </w:pPr>
      <w:r>
        <w:rPr>
          <w:lang w:val="nl-NL"/>
        </w:rPr>
        <w:t>Trường hợp kết quả rà soát một nội dung, quy định của VBQPPL đồng thời liên quan đến nhiều tiêu chí khác nhau thì ghi tất cả các tiêu chí (Ví dụ: Tiêu chí 2; Tiêu chí 4).</w:t>
      </w:r>
    </w:p>
    <w:p w14:paraId="60C04060">
      <w:pPr>
        <w:spacing w:before="120" w:after="120" w:line="360" w:lineRule="exact"/>
        <w:jc w:val="both"/>
        <w:rPr>
          <w:shd w:val="clear" w:color="auto" w:fill="FFFFFF"/>
          <w:lang w:val="nl-NL"/>
        </w:rPr>
      </w:pPr>
      <w:r>
        <w:rPr>
          <w:b/>
          <w:bCs/>
          <w:i/>
          <w:iCs/>
          <w:lang w:val="nl-NL"/>
        </w:rPr>
        <w:t>- Cột (8)</w:t>
      </w:r>
      <w:r>
        <w:rPr>
          <w:lang w:val="nl-NL"/>
        </w:rPr>
        <w:t xml:space="preserve">: Điền hình thức xử lý đối với nội dung, quy định của văn bản nếu cần </w:t>
      </w:r>
      <w:r>
        <w:rPr>
          <w:b/>
          <w:bCs/>
          <w:lang w:val="nl-NL"/>
        </w:rPr>
        <w:t xml:space="preserve">tạm ngưng hiệu lực một phần; </w:t>
      </w:r>
      <w:r>
        <w:rPr>
          <w:b/>
          <w:bCs/>
          <w:shd w:val="clear" w:color="auto" w:fill="FFFFFF"/>
          <w:lang w:val="nl-NL"/>
        </w:rPr>
        <w:t>hướng dẫn áp dụng VBQPPL</w:t>
      </w:r>
      <w:r>
        <w:rPr>
          <w:shd w:val="clear" w:color="auto" w:fill="FFFFFF"/>
          <w:lang w:val="nl-NL"/>
        </w:rPr>
        <w:t>.</w:t>
      </w:r>
    </w:p>
    <w:p w14:paraId="4A7293B7">
      <w:pPr>
        <w:spacing w:before="120" w:after="120" w:line="360" w:lineRule="exact"/>
        <w:ind w:firstLine="567"/>
        <w:jc w:val="both"/>
        <w:rPr>
          <w:iCs/>
          <w:spacing w:val="-2"/>
          <w:szCs w:val="28"/>
          <w:shd w:val="clear" w:color="auto" w:fill="FFFFFF"/>
          <w:lang w:val="nl-NL"/>
        </w:rPr>
      </w:pPr>
      <w:r>
        <w:rPr>
          <w:shd w:val="clear" w:color="auto" w:fill="FFFFFF"/>
          <w:lang w:val="nl-NL"/>
        </w:rPr>
        <w:t xml:space="preserve">Ví dụ: Nếu “nội dung 1” của văn bản A cần tạm ngưng hiệu lực thì ghi “Tạm ngưng hiệu lực một phần”. </w:t>
      </w:r>
    </w:p>
    <w:p w14:paraId="2899C273">
      <w:pPr>
        <w:shd w:val="clear" w:color="auto" w:fill="FFFFFF"/>
        <w:spacing w:before="120" w:after="120" w:line="360" w:lineRule="exact"/>
        <w:jc w:val="both"/>
        <w:rPr>
          <w:szCs w:val="28"/>
          <w:lang w:val="nl-NL"/>
        </w:rPr>
      </w:pPr>
      <w:r>
        <w:rPr>
          <w:szCs w:val="28"/>
          <w:lang w:val="nl-NL"/>
        </w:rPr>
        <w:t xml:space="preserve">- </w:t>
      </w:r>
      <w:r>
        <w:rPr>
          <w:b/>
          <w:szCs w:val="28"/>
          <w:lang w:val="nl-NL"/>
        </w:rPr>
        <w:t>Lưu ý:</w:t>
      </w:r>
      <w:r>
        <w:rPr>
          <w:szCs w:val="28"/>
          <w:lang w:val="nl-NL"/>
        </w:rPr>
        <w:t xml:space="preserve"> </w:t>
      </w:r>
    </w:p>
    <w:p w14:paraId="2DC58FFE">
      <w:pPr>
        <w:spacing w:before="120" w:after="120" w:line="360" w:lineRule="exact"/>
        <w:ind w:firstLine="567"/>
        <w:jc w:val="both"/>
        <w:rPr>
          <w:szCs w:val="28"/>
          <w:lang w:val="nl-NL"/>
        </w:rPr>
      </w:pPr>
      <w:r>
        <w:rPr>
          <w:szCs w:val="28"/>
          <w:lang w:val="nl-NL"/>
        </w:rPr>
        <w:t>+ 01 VBQPPL (gốc) chỉ xuất hiện 01 lần trong Danh mục (thuộc lĩnh vực của đơn vị có trách nhiệm chủ trì rà soát/tổng hợp kết quả rà soát).</w:t>
      </w:r>
    </w:p>
    <w:p w14:paraId="0F31D16D">
      <w:pPr>
        <w:spacing w:before="120" w:after="120" w:line="360" w:lineRule="exact"/>
        <w:ind w:firstLine="567"/>
        <w:jc w:val="both"/>
        <w:rPr>
          <w:bCs/>
          <w:szCs w:val="28"/>
          <w:lang w:val="nl-NL"/>
        </w:rPr>
      </w:pPr>
      <w:r>
        <w:rPr>
          <w:szCs w:val="28"/>
          <w:lang w:val="nl-NL"/>
        </w:rPr>
        <w:t xml:space="preserve">+ Tổng số văn bản đề xuất xử lý: Tính theo số văn bản được rà soát tại cột (2). </w:t>
      </w:r>
      <w:r>
        <w:rPr>
          <w:bCs/>
          <w:szCs w:val="28"/>
          <w:lang w:val="nl-NL"/>
        </w:rPr>
        <w:t>Không tính số liệu văn bản sửa đổi, bổ sung.</w:t>
      </w:r>
    </w:p>
    <w:p w14:paraId="053C0763">
      <w:pPr>
        <w:spacing w:before="120" w:after="120" w:line="360" w:lineRule="exact"/>
        <w:ind w:firstLine="567"/>
        <w:jc w:val="both"/>
        <w:rPr>
          <w:bCs/>
          <w:szCs w:val="28"/>
          <w:lang w:val="nl-NL"/>
        </w:rPr>
      </w:pPr>
      <w:r>
        <w:rPr>
          <w:bCs/>
          <w:szCs w:val="28"/>
          <w:lang w:val="nl-NL"/>
        </w:rPr>
        <w:t xml:space="preserve">+ </w:t>
      </w:r>
      <w:r>
        <w:rPr>
          <w:b/>
          <w:szCs w:val="28"/>
          <w:lang w:val="nl-NL"/>
        </w:rPr>
        <w:t>Không thực hiện</w:t>
      </w:r>
      <w:r>
        <w:rPr>
          <w:bCs/>
          <w:szCs w:val="28"/>
          <w:lang w:val="nl-NL"/>
        </w:rPr>
        <w:t xml:space="preserve"> rà soát đối với VBQPPL chỉ ban hành để bãi bỏ VBQPPL khác.</w:t>
      </w:r>
    </w:p>
    <w:p w14:paraId="6AF40AB3">
      <w:pPr>
        <w:spacing w:before="120" w:after="120" w:line="360" w:lineRule="exact"/>
        <w:ind w:firstLine="567"/>
        <w:jc w:val="both"/>
        <w:rPr>
          <w:bCs/>
          <w:szCs w:val="28"/>
          <w:lang w:val="nl-NL"/>
        </w:rPr>
      </w:pPr>
      <w:bookmarkStart w:id="1" w:name="_Hlk225194178"/>
      <w:bookmarkStart w:id="2" w:name="_Hlk226971132"/>
      <w:r>
        <w:rPr>
          <w:bCs/>
          <w:szCs w:val="28"/>
          <w:lang w:val="nl-NL"/>
        </w:rPr>
        <w:t xml:space="preserve">+ Tên các lĩnh vực: Theo tên của cơ quan chuyên môn thuộc UBND cấp tỉnh (trừ VBQPPL do Văn phòng UBND rà soát) (Ví dụ: Lĩnh vực Tư pháp, Lĩnh vực Tài chính...). </w:t>
      </w:r>
    </w:p>
    <w:p w14:paraId="2F4B5589">
      <w:pPr>
        <w:spacing w:before="120" w:after="120" w:line="360" w:lineRule="exact"/>
        <w:ind w:firstLine="567"/>
        <w:jc w:val="both"/>
        <w:rPr>
          <w:bCs/>
          <w:sz w:val="26"/>
          <w:szCs w:val="26"/>
          <w:lang w:val="nl-NL"/>
        </w:rPr>
      </w:pPr>
      <w:r>
        <w:rPr>
          <w:bCs/>
          <w:szCs w:val="28"/>
          <w:lang w:val="nl-NL"/>
        </w:rPr>
        <w:t>+ Lĩnh vực khác: Gồm các VBQPPL do Văn phòng UBND và các cơ quan không phải các cơ quan chuyên môn thuộc UBND cấp tỉnh thực hiện rà soát.</w:t>
      </w:r>
    </w:p>
    <w:p w14:paraId="781D40CF">
      <w:pPr>
        <w:spacing w:before="120" w:after="120" w:line="360" w:lineRule="exact"/>
        <w:ind w:firstLine="567"/>
        <w:jc w:val="both"/>
        <w:rPr>
          <w:bCs/>
          <w:sz w:val="26"/>
          <w:szCs w:val="26"/>
          <w:lang w:val="nl-NL"/>
        </w:rPr>
      </w:pPr>
      <w:r>
        <w:rPr>
          <w:bCs/>
          <w:i/>
          <w:iCs/>
          <w:szCs w:val="28"/>
          <w:lang w:val="nl-NL"/>
        </w:rPr>
        <w:t>+</w:t>
      </w:r>
      <w:r>
        <w:rPr>
          <w:bCs/>
          <w:szCs w:val="28"/>
          <w:lang w:val="nl-NL"/>
        </w:rPr>
        <w:t xml:space="preserve"> Việc xử lý văn bản trong trường hợp nhiều đơn vị hành chính được nhập thành một đơn vị hành chính mới cùng cấp: cần lưu ý quy định tại điểm b khoản 2 Điều 54 Luật Ban hành VBQPPL số 64/2025/QH15, được sửa đổi, bổ sung bởi Luật số 87/2025/QH15. </w:t>
      </w:r>
      <w:bookmarkEnd w:id="1"/>
      <w:bookmarkEnd w:id="2"/>
    </w:p>
    <w:p w14:paraId="6BB9E253">
      <w:pPr>
        <w:spacing w:before="120" w:after="120" w:line="360" w:lineRule="exact"/>
        <w:ind w:firstLine="567"/>
        <w:jc w:val="both"/>
        <w:rPr>
          <w:bCs/>
          <w:sz w:val="26"/>
          <w:szCs w:val="26"/>
        </w:rPr>
      </w:pPr>
    </w:p>
    <w:sectPr>
      <w:headerReference r:id="rId3" w:type="default"/>
      <w:footerReference r:id="rId4" w:type="default"/>
      <w:footerReference r:id="rId5" w:type="even"/>
      <w:pgSz w:w="16840" w:h="11907" w:orient="landscape"/>
      <w:pgMar w:top="851" w:right="1134" w:bottom="851" w:left="1134" w:header="720" w:footer="720" w:gutter="0"/>
      <w:cols w:space="720" w:num="1"/>
      <w:titlePg/>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Consolas">
    <w:panose1 w:val="020B0609020204030204"/>
    <w:charset w:val="00"/>
    <w:family w:val="modern"/>
    <w:pitch w:val="default"/>
    <w:sig w:usb0="E00006FF" w:usb1="0000FCFF" w:usb2="00000001" w:usb3="00000000" w:csb0="6000019F" w:csb1="DFD7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47A01">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4D5D3">
    <w:pPr>
      <w:pStyle w:val="12"/>
      <w:framePr w:wrap="around" w:vAnchor="text" w:hAnchor="margin" w:xAlign="right" w:y="1"/>
      <w:rPr>
        <w:rStyle w:val="21"/>
      </w:rPr>
    </w:pPr>
    <w:r>
      <w:rPr>
        <w:rStyle w:val="21"/>
      </w:rPr>
      <w:fldChar w:fldCharType="begin"/>
    </w:r>
    <w:r>
      <w:rPr>
        <w:rStyle w:val="21"/>
      </w:rPr>
      <w:instrText xml:space="preserve">PAGE  </w:instrText>
    </w:r>
    <w:r>
      <w:rPr>
        <w:rStyle w:val="21"/>
      </w:rPr>
      <w:fldChar w:fldCharType="separate"/>
    </w:r>
    <w:r>
      <w:rPr>
        <w:rStyle w:val="21"/>
      </w:rPr>
      <w:t>2</w:t>
    </w:r>
    <w:r>
      <w:rPr>
        <w:rStyle w:val="21"/>
      </w:rPr>
      <w:fldChar w:fldCharType="end"/>
    </w:r>
  </w:p>
  <w:p w14:paraId="5043CB0F">
    <w:pPr>
      <w:pStyle w:val="1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3CBC8">
    <w:pPr>
      <w:pStyle w:val="16"/>
      <w:jc w:val="center"/>
    </w:pPr>
    <w:r>
      <w:fldChar w:fldCharType="begin"/>
    </w:r>
    <w:r>
      <w:instrText xml:space="preserve"> PAGE   \* MERGEFORMAT </w:instrText>
    </w:r>
    <w:r>
      <w:fldChar w:fldCharType="separate"/>
    </w:r>
    <w:r>
      <w:t>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autoHyphenation/>
  <w:drawingGridHorizontalSpacing w:val="109"/>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3FF"/>
    <w:rsid w:val="00001826"/>
    <w:rsid w:val="00002DED"/>
    <w:rsid w:val="00003D5B"/>
    <w:rsid w:val="00007463"/>
    <w:rsid w:val="0000797C"/>
    <w:rsid w:val="00016AEF"/>
    <w:rsid w:val="000217E1"/>
    <w:rsid w:val="00022AF8"/>
    <w:rsid w:val="000243B7"/>
    <w:rsid w:val="00032670"/>
    <w:rsid w:val="0003769A"/>
    <w:rsid w:val="000412B8"/>
    <w:rsid w:val="00043E20"/>
    <w:rsid w:val="000737C8"/>
    <w:rsid w:val="00077BBD"/>
    <w:rsid w:val="00080C73"/>
    <w:rsid w:val="00082ACD"/>
    <w:rsid w:val="00082DD4"/>
    <w:rsid w:val="00090B40"/>
    <w:rsid w:val="000A6D98"/>
    <w:rsid w:val="000B7682"/>
    <w:rsid w:val="000D2DF9"/>
    <w:rsid w:val="000E10D4"/>
    <w:rsid w:val="000E49A2"/>
    <w:rsid w:val="000E5398"/>
    <w:rsid w:val="000E5654"/>
    <w:rsid w:val="000F2579"/>
    <w:rsid w:val="000F61BF"/>
    <w:rsid w:val="000F7090"/>
    <w:rsid w:val="001023B4"/>
    <w:rsid w:val="001056E9"/>
    <w:rsid w:val="00114B96"/>
    <w:rsid w:val="00117563"/>
    <w:rsid w:val="00126557"/>
    <w:rsid w:val="00126610"/>
    <w:rsid w:val="00134D21"/>
    <w:rsid w:val="0013765E"/>
    <w:rsid w:val="00140A26"/>
    <w:rsid w:val="00151BFE"/>
    <w:rsid w:val="001612E1"/>
    <w:rsid w:val="001624CD"/>
    <w:rsid w:val="001636F1"/>
    <w:rsid w:val="0017631B"/>
    <w:rsid w:val="00176A06"/>
    <w:rsid w:val="001847B2"/>
    <w:rsid w:val="00195487"/>
    <w:rsid w:val="001A3D99"/>
    <w:rsid w:val="001A7DF5"/>
    <w:rsid w:val="001B5890"/>
    <w:rsid w:val="001C4499"/>
    <w:rsid w:val="001D7ED8"/>
    <w:rsid w:val="001E5493"/>
    <w:rsid w:val="001E6476"/>
    <w:rsid w:val="001F1AF5"/>
    <w:rsid w:val="001F2B98"/>
    <w:rsid w:val="001F5AC7"/>
    <w:rsid w:val="001F76C9"/>
    <w:rsid w:val="001F77F6"/>
    <w:rsid w:val="00201846"/>
    <w:rsid w:val="00215B2B"/>
    <w:rsid w:val="00216D4F"/>
    <w:rsid w:val="00221B44"/>
    <w:rsid w:val="0022263A"/>
    <w:rsid w:val="0022414A"/>
    <w:rsid w:val="00230C01"/>
    <w:rsid w:val="00231756"/>
    <w:rsid w:val="002324C2"/>
    <w:rsid w:val="00234876"/>
    <w:rsid w:val="00236E4C"/>
    <w:rsid w:val="002471A1"/>
    <w:rsid w:val="0025053E"/>
    <w:rsid w:val="0025365D"/>
    <w:rsid w:val="00254FDC"/>
    <w:rsid w:val="00283F6D"/>
    <w:rsid w:val="00284977"/>
    <w:rsid w:val="0028539C"/>
    <w:rsid w:val="002875DF"/>
    <w:rsid w:val="00290A0C"/>
    <w:rsid w:val="002925C3"/>
    <w:rsid w:val="0029723C"/>
    <w:rsid w:val="002A3D7D"/>
    <w:rsid w:val="002A5526"/>
    <w:rsid w:val="002A782C"/>
    <w:rsid w:val="002B00C5"/>
    <w:rsid w:val="002B2E23"/>
    <w:rsid w:val="002B31C0"/>
    <w:rsid w:val="002C2B91"/>
    <w:rsid w:val="002C5E35"/>
    <w:rsid w:val="002D2B9D"/>
    <w:rsid w:val="002E21AE"/>
    <w:rsid w:val="002E5078"/>
    <w:rsid w:val="002E736F"/>
    <w:rsid w:val="002F03DE"/>
    <w:rsid w:val="002F049E"/>
    <w:rsid w:val="002F6712"/>
    <w:rsid w:val="00311765"/>
    <w:rsid w:val="003163FF"/>
    <w:rsid w:val="003233A5"/>
    <w:rsid w:val="003241A1"/>
    <w:rsid w:val="00326BBC"/>
    <w:rsid w:val="003318BF"/>
    <w:rsid w:val="00334B98"/>
    <w:rsid w:val="003378B5"/>
    <w:rsid w:val="00340EAF"/>
    <w:rsid w:val="00342AF0"/>
    <w:rsid w:val="0034467E"/>
    <w:rsid w:val="00345CD9"/>
    <w:rsid w:val="00350DFA"/>
    <w:rsid w:val="00350F98"/>
    <w:rsid w:val="00360AF0"/>
    <w:rsid w:val="0036350C"/>
    <w:rsid w:val="00365C98"/>
    <w:rsid w:val="003773CA"/>
    <w:rsid w:val="00380D82"/>
    <w:rsid w:val="00390B5A"/>
    <w:rsid w:val="00396563"/>
    <w:rsid w:val="00397BA0"/>
    <w:rsid w:val="003A04F3"/>
    <w:rsid w:val="003A1D44"/>
    <w:rsid w:val="003A2474"/>
    <w:rsid w:val="003A5406"/>
    <w:rsid w:val="003B5FE7"/>
    <w:rsid w:val="003B682C"/>
    <w:rsid w:val="003C1130"/>
    <w:rsid w:val="003C3CCF"/>
    <w:rsid w:val="003C6521"/>
    <w:rsid w:val="003E2FBC"/>
    <w:rsid w:val="003E7CF9"/>
    <w:rsid w:val="003F457E"/>
    <w:rsid w:val="003F5F13"/>
    <w:rsid w:val="0040121A"/>
    <w:rsid w:val="00402E64"/>
    <w:rsid w:val="00403ACA"/>
    <w:rsid w:val="00403DD2"/>
    <w:rsid w:val="00410DFF"/>
    <w:rsid w:val="00417371"/>
    <w:rsid w:val="00422305"/>
    <w:rsid w:val="00424B9A"/>
    <w:rsid w:val="00435C7E"/>
    <w:rsid w:val="00443FB8"/>
    <w:rsid w:val="00456162"/>
    <w:rsid w:val="0047106C"/>
    <w:rsid w:val="004749C7"/>
    <w:rsid w:val="00475B46"/>
    <w:rsid w:val="00481F8F"/>
    <w:rsid w:val="004978ED"/>
    <w:rsid w:val="004A181E"/>
    <w:rsid w:val="004A7225"/>
    <w:rsid w:val="004B00D7"/>
    <w:rsid w:val="004B3910"/>
    <w:rsid w:val="004C34F9"/>
    <w:rsid w:val="004E018F"/>
    <w:rsid w:val="004E15E0"/>
    <w:rsid w:val="004E518C"/>
    <w:rsid w:val="004E5541"/>
    <w:rsid w:val="004F56CA"/>
    <w:rsid w:val="004F59D0"/>
    <w:rsid w:val="00504FFF"/>
    <w:rsid w:val="00506CDB"/>
    <w:rsid w:val="0051413A"/>
    <w:rsid w:val="00515C2B"/>
    <w:rsid w:val="00521C7B"/>
    <w:rsid w:val="0052402C"/>
    <w:rsid w:val="0052462A"/>
    <w:rsid w:val="00530BAF"/>
    <w:rsid w:val="0054662A"/>
    <w:rsid w:val="00546EB1"/>
    <w:rsid w:val="00556455"/>
    <w:rsid w:val="00563E5A"/>
    <w:rsid w:val="005654CC"/>
    <w:rsid w:val="005675BA"/>
    <w:rsid w:val="00570576"/>
    <w:rsid w:val="00574042"/>
    <w:rsid w:val="005756D3"/>
    <w:rsid w:val="005958D8"/>
    <w:rsid w:val="00595A95"/>
    <w:rsid w:val="005A2B99"/>
    <w:rsid w:val="005A39A6"/>
    <w:rsid w:val="005A6DB1"/>
    <w:rsid w:val="005B6F4A"/>
    <w:rsid w:val="005C3232"/>
    <w:rsid w:val="005C49FA"/>
    <w:rsid w:val="005E0F65"/>
    <w:rsid w:val="005E4C8F"/>
    <w:rsid w:val="00603023"/>
    <w:rsid w:val="00607012"/>
    <w:rsid w:val="006234D1"/>
    <w:rsid w:val="006304A9"/>
    <w:rsid w:val="006400B3"/>
    <w:rsid w:val="00646BC9"/>
    <w:rsid w:val="00647F89"/>
    <w:rsid w:val="00652903"/>
    <w:rsid w:val="006664E8"/>
    <w:rsid w:val="00670DF1"/>
    <w:rsid w:val="00673A76"/>
    <w:rsid w:val="006858D9"/>
    <w:rsid w:val="006865C4"/>
    <w:rsid w:val="006868C2"/>
    <w:rsid w:val="00691F03"/>
    <w:rsid w:val="00694D35"/>
    <w:rsid w:val="006964DA"/>
    <w:rsid w:val="006A5CC2"/>
    <w:rsid w:val="006A7A69"/>
    <w:rsid w:val="006B09C3"/>
    <w:rsid w:val="006B29FA"/>
    <w:rsid w:val="006B4400"/>
    <w:rsid w:val="006B528A"/>
    <w:rsid w:val="006C69A5"/>
    <w:rsid w:val="006D2775"/>
    <w:rsid w:val="006D322D"/>
    <w:rsid w:val="006E1B2A"/>
    <w:rsid w:val="006E26C7"/>
    <w:rsid w:val="006E4D94"/>
    <w:rsid w:val="006F504A"/>
    <w:rsid w:val="00700295"/>
    <w:rsid w:val="00715B7B"/>
    <w:rsid w:val="007267E3"/>
    <w:rsid w:val="00727D62"/>
    <w:rsid w:val="00731BF6"/>
    <w:rsid w:val="00732BCD"/>
    <w:rsid w:val="00733C5C"/>
    <w:rsid w:val="00741EBC"/>
    <w:rsid w:val="00751A36"/>
    <w:rsid w:val="0075292C"/>
    <w:rsid w:val="00763733"/>
    <w:rsid w:val="00764A18"/>
    <w:rsid w:val="00765F32"/>
    <w:rsid w:val="00766EC0"/>
    <w:rsid w:val="00772601"/>
    <w:rsid w:val="00775E61"/>
    <w:rsid w:val="00784325"/>
    <w:rsid w:val="0079150D"/>
    <w:rsid w:val="00793FD5"/>
    <w:rsid w:val="00796487"/>
    <w:rsid w:val="00796EC8"/>
    <w:rsid w:val="00796FAE"/>
    <w:rsid w:val="007970CE"/>
    <w:rsid w:val="007978FA"/>
    <w:rsid w:val="007A42DD"/>
    <w:rsid w:val="007B5755"/>
    <w:rsid w:val="007B58CC"/>
    <w:rsid w:val="007C2AAF"/>
    <w:rsid w:val="007C578E"/>
    <w:rsid w:val="007C5D38"/>
    <w:rsid w:val="007D413C"/>
    <w:rsid w:val="007D5728"/>
    <w:rsid w:val="007E28E4"/>
    <w:rsid w:val="007E2DFB"/>
    <w:rsid w:val="007E433C"/>
    <w:rsid w:val="007E4A8F"/>
    <w:rsid w:val="007E7DFD"/>
    <w:rsid w:val="007F05A6"/>
    <w:rsid w:val="007F43E3"/>
    <w:rsid w:val="007F4ACA"/>
    <w:rsid w:val="008141DF"/>
    <w:rsid w:val="008155CF"/>
    <w:rsid w:val="0081791A"/>
    <w:rsid w:val="00822078"/>
    <w:rsid w:val="008305C3"/>
    <w:rsid w:val="008322C5"/>
    <w:rsid w:val="0083501F"/>
    <w:rsid w:val="008415FB"/>
    <w:rsid w:val="008443FC"/>
    <w:rsid w:val="00844819"/>
    <w:rsid w:val="00845B35"/>
    <w:rsid w:val="00845CC9"/>
    <w:rsid w:val="00846B3D"/>
    <w:rsid w:val="0085786E"/>
    <w:rsid w:val="008601BD"/>
    <w:rsid w:val="008650E1"/>
    <w:rsid w:val="00865F69"/>
    <w:rsid w:val="00867E28"/>
    <w:rsid w:val="00870B1A"/>
    <w:rsid w:val="00872C73"/>
    <w:rsid w:val="00873B5A"/>
    <w:rsid w:val="00874FDB"/>
    <w:rsid w:val="00876E6F"/>
    <w:rsid w:val="00876F78"/>
    <w:rsid w:val="00881A82"/>
    <w:rsid w:val="00885AC8"/>
    <w:rsid w:val="00887322"/>
    <w:rsid w:val="00896B5F"/>
    <w:rsid w:val="008A76DC"/>
    <w:rsid w:val="008B0527"/>
    <w:rsid w:val="008D02D6"/>
    <w:rsid w:val="008D1E5E"/>
    <w:rsid w:val="008D2A73"/>
    <w:rsid w:val="008E097C"/>
    <w:rsid w:val="008E4AAF"/>
    <w:rsid w:val="00902930"/>
    <w:rsid w:val="009037A5"/>
    <w:rsid w:val="00906CCC"/>
    <w:rsid w:val="00911D7B"/>
    <w:rsid w:val="00913FD1"/>
    <w:rsid w:val="00917142"/>
    <w:rsid w:val="0092406A"/>
    <w:rsid w:val="0092682F"/>
    <w:rsid w:val="00930113"/>
    <w:rsid w:val="00935DCB"/>
    <w:rsid w:val="009400DC"/>
    <w:rsid w:val="00942D6D"/>
    <w:rsid w:val="00943774"/>
    <w:rsid w:val="009451B9"/>
    <w:rsid w:val="00953B96"/>
    <w:rsid w:val="0095473D"/>
    <w:rsid w:val="009655AC"/>
    <w:rsid w:val="00971124"/>
    <w:rsid w:val="009724E0"/>
    <w:rsid w:val="00975277"/>
    <w:rsid w:val="00981A10"/>
    <w:rsid w:val="0098371F"/>
    <w:rsid w:val="0099374E"/>
    <w:rsid w:val="009A46C5"/>
    <w:rsid w:val="009A560E"/>
    <w:rsid w:val="009B0066"/>
    <w:rsid w:val="009B5012"/>
    <w:rsid w:val="009B5AA3"/>
    <w:rsid w:val="009C272B"/>
    <w:rsid w:val="009C3438"/>
    <w:rsid w:val="009C3FFD"/>
    <w:rsid w:val="009C4259"/>
    <w:rsid w:val="009C47B0"/>
    <w:rsid w:val="009C5C89"/>
    <w:rsid w:val="009D0434"/>
    <w:rsid w:val="009F1782"/>
    <w:rsid w:val="009F4216"/>
    <w:rsid w:val="00A01505"/>
    <w:rsid w:val="00A019BC"/>
    <w:rsid w:val="00A026CE"/>
    <w:rsid w:val="00A05474"/>
    <w:rsid w:val="00A209AE"/>
    <w:rsid w:val="00A23748"/>
    <w:rsid w:val="00A260A8"/>
    <w:rsid w:val="00A272F3"/>
    <w:rsid w:val="00A306EB"/>
    <w:rsid w:val="00A34F3D"/>
    <w:rsid w:val="00A40898"/>
    <w:rsid w:val="00A409FC"/>
    <w:rsid w:val="00A40DB7"/>
    <w:rsid w:val="00A4117A"/>
    <w:rsid w:val="00A45A2E"/>
    <w:rsid w:val="00A570ED"/>
    <w:rsid w:val="00A653FA"/>
    <w:rsid w:val="00A67C89"/>
    <w:rsid w:val="00A80BD9"/>
    <w:rsid w:val="00A96222"/>
    <w:rsid w:val="00AA2AA9"/>
    <w:rsid w:val="00AB2D76"/>
    <w:rsid w:val="00AB3A64"/>
    <w:rsid w:val="00AC5D7D"/>
    <w:rsid w:val="00AC7036"/>
    <w:rsid w:val="00AD65F4"/>
    <w:rsid w:val="00AE4A09"/>
    <w:rsid w:val="00AE5301"/>
    <w:rsid w:val="00AF341D"/>
    <w:rsid w:val="00AF4860"/>
    <w:rsid w:val="00B00B7D"/>
    <w:rsid w:val="00B114C0"/>
    <w:rsid w:val="00B31B86"/>
    <w:rsid w:val="00B32C01"/>
    <w:rsid w:val="00B334F2"/>
    <w:rsid w:val="00B36229"/>
    <w:rsid w:val="00B440CB"/>
    <w:rsid w:val="00B46E13"/>
    <w:rsid w:val="00B47A07"/>
    <w:rsid w:val="00B51CFD"/>
    <w:rsid w:val="00B52ACC"/>
    <w:rsid w:val="00B53EEA"/>
    <w:rsid w:val="00B600E0"/>
    <w:rsid w:val="00B603AF"/>
    <w:rsid w:val="00B64220"/>
    <w:rsid w:val="00B73792"/>
    <w:rsid w:val="00B7422A"/>
    <w:rsid w:val="00B75B70"/>
    <w:rsid w:val="00B82A7C"/>
    <w:rsid w:val="00B84C8D"/>
    <w:rsid w:val="00B870C1"/>
    <w:rsid w:val="00BA25BB"/>
    <w:rsid w:val="00BB4F9B"/>
    <w:rsid w:val="00BB5F32"/>
    <w:rsid w:val="00BC1151"/>
    <w:rsid w:val="00BC2DBD"/>
    <w:rsid w:val="00BC3EE8"/>
    <w:rsid w:val="00BD1D3B"/>
    <w:rsid w:val="00BD478F"/>
    <w:rsid w:val="00BD55C3"/>
    <w:rsid w:val="00BF0AE6"/>
    <w:rsid w:val="00BF63BB"/>
    <w:rsid w:val="00C02DBB"/>
    <w:rsid w:val="00C204A7"/>
    <w:rsid w:val="00C260F3"/>
    <w:rsid w:val="00C32DD6"/>
    <w:rsid w:val="00C41B03"/>
    <w:rsid w:val="00C54F4B"/>
    <w:rsid w:val="00C55E29"/>
    <w:rsid w:val="00C61D01"/>
    <w:rsid w:val="00C6713B"/>
    <w:rsid w:val="00C71AC9"/>
    <w:rsid w:val="00C9406A"/>
    <w:rsid w:val="00C9521D"/>
    <w:rsid w:val="00C953F9"/>
    <w:rsid w:val="00C9609D"/>
    <w:rsid w:val="00CA6D62"/>
    <w:rsid w:val="00CB3535"/>
    <w:rsid w:val="00CC410B"/>
    <w:rsid w:val="00CD63AA"/>
    <w:rsid w:val="00CE237B"/>
    <w:rsid w:val="00CE43D6"/>
    <w:rsid w:val="00CE727E"/>
    <w:rsid w:val="00CF6950"/>
    <w:rsid w:val="00CF76E3"/>
    <w:rsid w:val="00D012D9"/>
    <w:rsid w:val="00D07184"/>
    <w:rsid w:val="00D10E28"/>
    <w:rsid w:val="00D26B94"/>
    <w:rsid w:val="00D30029"/>
    <w:rsid w:val="00D3459B"/>
    <w:rsid w:val="00D37621"/>
    <w:rsid w:val="00D7264F"/>
    <w:rsid w:val="00D73181"/>
    <w:rsid w:val="00D7473C"/>
    <w:rsid w:val="00D754B1"/>
    <w:rsid w:val="00D866B3"/>
    <w:rsid w:val="00D8775C"/>
    <w:rsid w:val="00D91592"/>
    <w:rsid w:val="00D93EDD"/>
    <w:rsid w:val="00DB3D40"/>
    <w:rsid w:val="00DB40DF"/>
    <w:rsid w:val="00DB6486"/>
    <w:rsid w:val="00DC362B"/>
    <w:rsid w:val="00DD1FAE"/>
    <w:rsid w:val="00DE435E"/>
    <w:rsid w:val="00DE5969"/>
    <w:rsid w:val="00DE611C"/>
    <w:rsid w:val="00DF2776"/>
    <w:rsid w:val="00E0020C"/>
    <w:rsid w:val="00E02119"/>
    <w:rsid w:val="00E21333"/>
    <w:rsid w:val="00E27600"/>
    <w:rsid w:val="00E41AFA"/>
    <w:rsid w:val="00E503CB"/>
    <w:rsid w:val="00E51D2B"/>
    <w:rsid w:val="00E530DB"/>
    <w:rsid w:val="00E531A5"/>
    <w:rsid w:val="00E5360F"/>
    <w:rsid w:val="00E549FD"/>
    <w:rsid w:val="00E56BE3"/>
    <w:rsid w:val="00E61DC9"/>
    <w:rsid w:val="00E6257C"/>
    <w:rsid w:val="00E64E26"/>
    <w:rsid w:val="00E73FA5"/>
    <w:rsid w:val="00E75477"/>
    <w:rsid w:val="00E818E9"/>
    <w:rsid w:val="00E90BBB"/>
    <w:rsid w:val="00E91AC2"/>
    <w:rsid w:val="00E92834"/>
    <w:rsid w:val="00E97706"/>
    <w:rsid w:val="00EA280D"/>
    <w:rsid w:val="00EB7FBE"/>
    <w:rsid w:val="00EC5CB7"/>
    <w:rsid w:val="00EE0426"/>
    <w:rsid w:val="00EE0C94"/>
    <w:rsid w:val="00EE253A"/>
    <w:rsid w:val="00EE5376"/>
    <w:rsid w:val="00EF3114"/>
    <w:rsid w:val="00EF48FC"/>
    <w:rsid w:val="00F026C5"/>
    <w:rsid w:val="00F041E6"/>
    <w:rsid w:val="00F05407"/>
    <w:rsid w:val="00F14DAA"/>
    <w:rsid w:val="00F26EF9"/>
    <w:rsid w:val="00F37EFC"/>
    <w:rsid w:val="00F40829"/>
    <w:rsid w:val="00F42CE5"/>
    <w:rsid w:val="00F501F9"/>
    <w:rsid w:val="00F50579"/>
    <w:rsid w:val="00F529A7"/>
    <w:rsid w:val="00F52EA3"/>
    <w:rsid w:val="00F53074"/>
    <w:rsid w:val="00F53355"/>
    <w:rsid w:val="00F54DD8"/>
    <w:rsid w:val="00F64244"/>
    <w:rsid w:val="00F73C4A"/>
    <w:rsid w:val="00F95655"/>
    <w:rsid w:val="00F972A8"/>
    <w:rsid w:val="00FA23CA"/>
    <w:rsid w:val="00FC4513"/>
    <w:rsid w:val="00FD3993"/>
    <w:rsid w:val="00FD643B"/>
    <w:rsid w:val="00FE2787"/>
    <w:rsid w:val="00FE45EB"/>
    <w:rsid w:val="00FE5126"/>
    <w:rsid w:val="278550D4"/>
    <w:rsid w:val="2C49240C"/>
    <w:rsid w:val="4C09A074"/>
    <w:rsid w:val="70A16931"/>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iPriority="99"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8"/>
      <w:szCs w:val="24"/>
      <w:lang w:val="en-US" w:eastAsia="en-US" w:bidi="ar-SA"/>
    </w:rPr>
  </w:style>
  <w:style w:type="paragraph" w:styleId="2">
    <w:name w:val="heading 1"/>
    <w:basedOn w:val="1"/>
    <w:next w:val="1"/>
    <w:link w:val="36"/>
    <w:qFormat/>
    <w:uiPriority w:val="0"/>
    <w:pPr>
      <w:keepNext/>
      <w:spacing w:before="240" w:after="60"/>
      <w:outlineLvl w:val="0"/>
    </w:pPr>
    <w:rPr>
      <w:rFonts w:ascii="Calibri Light" w:hAnsi="Calibri Light"/>
      <w:b/>
      <w:bCs/>
      <w:kern w:val="32"/>
      <w:sz w:val="32"/>
      <w:szCs w:val="32"/>
      <w:lang w:val="vi-VN"/>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34"/>
    <w:qFormat/>
    <w:uiPriority w:val="0"/>
    <w:rPr>
      <w:rFonts w:ascii="Tahoma" w:hAnsi="Tahoma" w:cs="Tahoma"/>
      <w:sz w:val="16"/>
      <w:szCs w:val="16"/>
    </w:rPr>
  </w:style>
  <w:style w:type="character" w:styleId="6">
    <w:name w:val="annotation reference"/>
    <w:qFormat/>
    <w:uiPriority w:val="0"/>
    <w:rPr>
      <w:sz w:val="16"/>
      <w:szCs w:val="16"/>
    </w:rPr>
  </w:style>
  <w:style w:type="paragraph" w:styleId="7">
    <w:name w:val="annotation text"/>
    <w:basedOn w:val="1"/>
    <w:link w:val="32"/>
    <w:qFormat/>
    <w:uiPriority w:val="0"/>
    <w:rPr>
      <w:sz w:val="20"/>
      <w:szCs w:val="20"/>
    </w:rPr>
  </w:style>
  <w:style w:type="paragraph" w:styleId="8">
    <w:name w:val="annotation subject"/>
    <w:basedOn w:val="7"/>
    <w:next w:val="7"/>
    <w:link w:val="33"/>
    <w:qFormat/>
    <w:uiPriority w:val="0"/>
    <w:rPr>
      <w:b/>
      <w:bCs/>
    </w:rPr>
  </w:style>
  <w:style w:type="paragraph" w:styleId="9">
    <w:name w:val="Document Map"/>
    <w:basedOn w:val="1"/>
    <w:semiHidden/>
    <w:qFormat/>
    <w:uiPriority w:val="0"/>
    <w:pPr>
      <w:shd w:val="clear" w:color="auto" w:fill="000080"/>
    </w:pPr>
    <w:rPr>
      <w:rFonts w:ascii="Tahoma" w:hAnsi="Tahoma" w:cs="Tahoma"/>
      <w:sz w:val="20"/>
      <w:szCs w:val="20"/>
    </w:rPr>
  </w:style>
  <w:style w:type="character" w:styleId="10">
    <w:name w:val="Emphasis"/>
    <w:qFormat/>
    <w:uiPriority w:val="20"/>
    <w:rPr>
      <w:i/>
      <w:iCs/>
    </w:rPr>
  </w:style>
  <w:style w:type="character" w:styleId="11">
    <w:name w:val="FollowedHyperlink"/>
    <w:uiPriority w:val="0"/>
    <w:rPr>
      <w:color w:val="800080"/>
      <w:u w:val="single"/>
    </w:rPr>
  </w:style>
  <w:style w:type="paragraph" w:styleId="12">
    <w:name w:val="footer"/>
    <w:basedOn w:val="1"/>
    <w:qFormat/>
    <w:uiPriority w:val="0"/>
    <w:pPr>
      <w:tabs>
        <w:tab w:val="center" w:pos="4320"/>
        <w:tab w:val="right" w:pos="8640"/>
      </w:tabs>
    </w:pPr>
    <w:rPr>
      <w:sz w:val="24"/>
    </w:rPr>
  </w:style>
  <w:style w:type="character" w:styleId="13">
    <w:name w:val="footnote reference"/>
    <w:link w:val="14"/>
    <w:qFormat/>
    <w:uiPriority w:val="0"/>
    <w:rPr>
      <w:vertAlign w:val="superscript"/>
    </w:rPr>
  </w:style>
  <w:style w:type="paragraph" w:customStyle="1" w:styleId="14">
    <w:name w:val="Ref Char"/>
    <w:basedOn w:val="1"/>
    <w:link w:val="13"/>
    <w:qFormat/>
    <w:uiPriority w:val="0"/>
    <w:pPr>
      <w:spacing w:after="160" w:line="240" w:lineRule="exact"/>
    </w:pPr>
    <w:rPr>
      <w:sz w:val="20"/>
      <w:szCs w:val="20"/>
      <w:vertAlign w:val="superscript"/>
    </w:rPr>
  </w:style>
  <w:style w:type="paragraph" w:styleId="15">
    <w:name w:val="footnote text"/>
    <w:basedOn w:val="1"/>
    <w:link w:val="31"/>
    <w:qFormat/>
    <w:uiPriority w:val="99"/>
    <w:rPr>
      <w:sz w:val="20"/>
      <w:szCs w:val="20"/>
    </w:rPr>
  </w:style>
  <w:style w:type="paragraph" w:styleId="16">
    <w:name w:val="header"/>
    <w:basedOn w:val="1"/>
    <w:link w:val="35"/>
    <w:qFormat/>
    <w:uiPriority w:val="99"/>
    <w:pPr>
      <w:tabs>
        <w:tab w:val="center" w:pos="4513"/>
        <w:tab w:val="right" w:pos="9026"/>
      </w:tabs>
    </w:pPr>
  </w:style>
  <w:style w:type="character" w:styleId="17">
    <w:name w:val="HTML Code"/>
    <w:unhideWhenUsed/>
    <w:qFormat/>
    <w:uiPriority w:val="99"/>
    <w:rPr>
      <w:rFonts w:ascii="Courier New" w:hAnsi="Courier New" w:eastAsia="Times New Roman" w:cs="Courier New"/>
      <w:sz w:val="20"/>
      <w:szCs w:val="20"/>
    </w:rPr>
  </w:style>
  <w:style w:type="paragraph" w:styleId="18">
    <w:name w:val="HTML Preformatted"/>
    <w:basedOn w:val="1"/>
    <w:link w:val="38"/>
    <w:uiPriority w:val="0"/>
    <w:rPr>
      <w:rFonts w:ascii="Consolas" w:hAnsi="Consolas"/>
      <w:sz w:val="20"/>
      <w:szCs w:val="20"/>
    </w:rPr>
  </w:style>
  <w:style w:type="character" w:styleId="19">
    <w:name w:val="Hyperlink"/>
    <w:qFormat/>
    <w:uiPriority w:val="99"/>
    <w:rPr>
      <w:color w:val="0000FF"/>
      <w:u w:val="single"/>
    </w:rPr>
  </w:style>
  <w:style w:type="paragraph" w:styleId="20">
    <w:name w:val="Normal (Web)"/>
    <w:basedOn w:val="1"/>
    <w:qFormat/>
    <w:uiPriority w:val="99"/>
    <w:pPr>
      <w:spacing w:before="100" w:beforeAutospacing="1" w:after="100" w:afterAutospacing="1"/>
    </w:pPr>
    <w:rPr>
      <w:rFonts w:ascii="Verdana" w:hAnsi="Verdana" w:cs="Verdana"/>
      <w:sz w:val="24"/>
    </w:rPr>
  </w:style>
  <w:style w:type="character" w:styleId="21">
    <w:name w:val="page number"/>
    <w:basedOn w:val="3"/>
    <w:qFormat/>
    <w:uiPriority w:val="0"/>
  </w:style>
  <w:style w:type="character" w:styleId="22">
    <w:name w:val="Strong"/>
    <w:qFormat/>
    <w:uiPriority w:val="0"/>
    <w:rPr>
      <w:b/>
      <w:bCs/>
    </w:rPr>
  </w:style>
  <w:style w:type="table" w:styleId="23">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4">
    <w:name w:val="List Paragraph"/>
    <w:basedOn w:val="1"/>
    <w:qFormat/>
    <w:uiPriority w:val="0"/>
    <w:pPr>
      <w:spacing w:after="200" w:line="276" w:lineRule="auto"/>
      <w:ind w:left="720"/>
      <w:contextualSpacing/>
    </w:pPr>
    <w:rPr>
      <w:rFonts w:ascii="Calibri" w:hAnsi="Calibri"/>
      <w:sz w:val="22"/>
      <w:szCs w:val="22"/>
    </w:rPr>
  </w:style>
  <w:style w:type="paragraph" w:customStyle="1" w:styleId="25">
    <w:name w:val="Char Char Char Char Char Char Char"/>
    <w:autoRedefine/>
    <w:qFormat/>
    <w:uiPriority w:val="0"/>
    <w:pPr>
      <w:tabs>
        <w:tab w:val="left" w:pos="1152"/>
      </w:tabs>
      <w:spacing w:before="120" w:after="120" w:line="312" w:lineRule="auto"/>
    </w:pPr>
    <w:rPr>
      <w:rFonts w:ascii="Arial" w:hAnsi="Arial" w:eastAsia="Times New Roman" w:cs="Arial"/>
      <w:sz w:val="26"/>
      <w:szCs w:val="26"/>
      <w:lang w:val="en-US" w:eastAsia="en-US" w:bidi="ar-SA"/>
    </w:rPr>
  </w:style>
  <w:style w:type="character" w:customStyle="1" w:styleId="26">
    <w:name w:val="vl_doc_identity"/>
    <w:basedOn w:val="3"/>
    <w:qFormat/>
    <w:uiPriority w:val="0"/>
  </w:style>
  <w:style w:type="character" w:customStyle="1" w:styleId="27">
    <w:name w:val="st"/>
    <w:basedOn w:val="3"/>
    <w:uiPriority w:val="0"/>
  </w:style>
  <w:style w:type="paragraph" w:customStyle="1" w:styleId="28">
    <w:name w:val="1 Char Char Char Char"/>
    <w:basedOn w:val="9"/>
    <w:autoRedefine/>
    <w:qFormat/>
    <w:uiPriority w:val="0"/>
    <w:pPr>
      <w:widowControl w:val="0"/>
      <w:jc w:val="both"/>
    </w:pPr>
    <w:rPr>
      <w:rFonts w:eastAsia="SimSun" w:cs="Times New Roman"/>
      <w:kern w:val="2"/>
      <w:sz w:val="24"/>
      <w:szCs w:val="24"/>
      <w:lang w:eastAsia="zh-CN"/>
    </w:rPr>
  </w:style>
  <w:style w:type="paragraph" w:customStyle="1" w:styleId="29">
    <w:name w:val="Char"/>
    <w:basedOn w:val="9"/>
    <w:autoRedefine/>
    <w:uiPriority w:val="0"/>
    <w:pPr>
      <w:widowControl w:val="0"/>
      <w:jc w:val="both"/>
    </w:pPr>
    <w:rPr>
      <w:rFonts w:eastAsia="SimSun" w:cs="Times New Roman"/>
      <w:kern w:val="2"/>
      <w:sz w:val="24"/>
      <w:szCs w:val="24"/>
      <w:lang w:eastAsia="zh-CN"/>
    </w:rPr>
  </w:style>
  <w:style w:type="character" w:customStyle="1" w:styleId="30">
    <w:name w:val="apple-style-span"/>
    <w:basedOn w:val="3"/>
    <w:uiPriority w:val="0"/>
  </w:style>
  <w:style w:type="character" w:customStyle="1" w:styleId="31">
    <w:name w:val="Footnote Text Char"/>
    <w:link w:val="15"/>
    <w:qFormat/>
    <w:uiPriority w:val="99"/>
  </w:style>
  <w:style w:type="character" w:customStyle="1" w:styleId="32">
    <w:name w:val="Comment Text Char"/>
    <w:basedOn w:val="3"/>
    <w:link w:val="7"/>
    <w:qFormat/>
    <w:uiPriority w:val="0"/>
  </w:style>
  <w:style w:type="character" w:customStyle="1" w:styleId="33">
    <w:name w:val="Comment Subject Char"/>
    <w:link w:val="8"/>
    <w:qFormat/>
    <w:uiPriority w:val="0"/>
    <w:rPr>
      <w:b/>
      <w:bCs/>
    </w:rPr>
  </w:style>
  <w:style w:type="character" w:customStyle="1" w:styleId="34">
    <w:name w:val="Balloon Text Char"/>
    <w:link w:val="5"/>
    <w:qFormat/>
    <w:uiPriority w:val="0"/>
    <w:rPr>
      <w:rFonts w:ascii="Tahoma" w:hAnsi="Tahoma" w:cs="Tahoma"/>
      <w:sz w:val="16"/>
      <w:szCs w:val="16"/>
    </w:rPr>
  </w:style>
  <w:style w:type="character" w:customStyle="1" w:styleId="35">
    <w:name w:val="Header Char"/>
    <w:link w:val="16"/>
    <w:qFormat/>
    <w:uiPriority w:val="99"/>
    <w:rPr>
      <w:sz w:val="28"/>
      <w:szCs w:val="24"/>
      <w:lang w:val="en-US" w:eastAsia="en-US"/>
    </w:rPr>
  </w:style>
  <w:style w:type="character" w:customStyle="1" w:styleId="36">
    <w:name w:val="Heading 1 Char"/>
    <w:link w:val="2"/>
    <w:qFormat/>
    <w:uiPriority w:val="0"/>
    <w:rPr>
      <w:rFonts w:ascii="Calibri Light" w:hAnsi="Calibri Light"/>
      <w:b/>
      <w:bCs/>
      <w:kern w:val="32"/>
      <w:sz w:val="32"/>
      <w:szCs w:val="32"/>
      <w:lang w:val="vi-VN"/>
    </w:rPr>
  </w:style>
  <w:style w:type="paragraph" w:customStyle="1" w:styleId="37">
    <w:name w:val="Revision"/>
    <w:hidden/>
    <w:semiHidden/>
    <w:qFormat/>
    <w:uiPriority w:val="99"/>
    <w:rPr>
      <w:rFonts w:ascii="Times New Roman" w:hAnsi="Times New Roman" w:eastAsia="Times New Roman" w:cs="Times New Roman"/>
      <w:sz w:val="28"/>
      <w:szCs w:val="24"/>
      <w:lang w:val="en-US" w:eastAsia="en-US" w:bidi="ar-SA"/>
    </w:rPr>
  </w:style>
  <w:style w:type="character" w:customStyle="1" w:styleId="38">
    <w:name w:val="HTML Preformatted Char"/>
    <w:basedOn w:val="3"/>
    <w:link w:val="18"/>
    <w:qFormat/>
    <w:uiPriority w:val="0"/>
    <w:rPr>
      <w:rFonts w:ascii="Consolas" w:hAnsi="Consolas"/>
      <w:lang w:val="en-US" w:eastAsia="en-US"/>
    </w:rPr>
  </w:style>
  <w:style w:type="character" w:customStyle="1" w:styleId="39">
    <w:name w:val="Unresolved Mention"/>
    <w:basedOn w:val="3"/>
    <w:semiHidden/>
    <w:unhideWhenUsed/>
    <w:qFormat/>
    <w:uiPriority w:val="99"/>
    <w:rPr>
      <w:color w:val="605E5C"/>
      <w:shd w:val="clear" w:color="auto" w:fill="E1DFDD"/>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customXml/item4.xml" Type="http://schemas.openxmlformats.org/officeDocument/2006/relationships/customXml"/><Relationship Id="rId11" Target="fontTable.xml" Type="http://schemas.openxmlformats.org/officeDocument/2006/relationships/fontTabl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customXml/item2.xml" Type="http://schemas.openxmlformats.org/officeDocument/2006/relationships/customXml"/><Relationship Id="rId9" Target="../customXml/item3.xml" Type="http://schemas.openxmlformats.org/officeDocument/2006/relationships/custom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54DF19-34E2-4AA9-9D1D-78ADBE09FB4C}">
  <ds:schemaRefs/>
</ds:datastoreItem>
</file>

<file path=customXml/itemProps3.xml><?xml version="1.0" encoding="utf-8"?>
<ds:datastoreItem xmlns:ds="http://schemas.openxmlformats.org/officeDocument/2006/customXml" ds:itemID="{2A520E77-77B5-4FB6-A51E-120962F3D047}">
  <ds:schemaRefs/>
</ds:datastoreItem>
</file>

<file path=customXml/itemProps4.xml><?xml version="1.0" encoding="utf-8"?>
<ds:datastoreItem xmlns:ds="http://schemas.openxmlformats.org/officeDocument/2006/customXml" ds:itemID="{C20ACB75-DD82-4B3E-86A4-55800265DD67}">
  <ds:schemaRefs/>
</ds:datastoreItem>
</file>

<file path=docProps/app.xml><?xml version="1.0" encoding="utf-8"?>
<Properties xmlns="http://schemas.openxmlformats.org/officeDocument/2006/extended-properties" xmlns:vt="http://schemas.openxmlformats.org/officeDocument/2006/docPropsVTypes">
  <Template>Normal</Template>
  <Company>Truong</Company>
  <Pages>6</Pages>
  <Words>1978</Words>
  <Characters>7204</Characters>
  <Lines>67</Lines>
  <Paragraphs>18</Paragraphs>
  <TotalTime>106</TotalTime>
  <ScaleCrop>false</ScaleCrop>
  <LinksUpToDate>false</LinksUpToDate>
  <CharactersWithSpaces>9096</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2026-04-22T02:47:00Z</dcterms:created>
  <dc:creator>PC Thien IT</dc:creator>
  <cp:lastModifiedBy>WPS_1786605126</cp:lastModifiedBy>
  <dcterms:modified xsi:type="dcterms:W3CDTF">2026-08-21T06:41:53Z</dcterms:modified>
  <cp:revision>159</cp:revision>
  <dc:title>DỰ KIẾN PHÂN CÔNG RÀ SOÁT VĂN BẢN QUY PHẠM PHÁP LUẬT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eyJoZGlkIjoiNGU0OWVmYzBmYWY2NzRmNDQ3ZGRiYTVhYTQzMGNkODQiLCJ1c2VySWQiOiIxMzc0NDAyNTU1NTU0In0=</vt:lpwstr>
  </property>
  <property fmtid="{D5CDD505-2E9C-101B-9397-08002B2CF9AE}" pid="3" name="KSOProductBuildVer">
    <vt:lpwstr>1033-12.1.0.28032</vt:lpwstr>
  </property>
  <property fmtid="{D5CDD505-2E9C-101B-9397-08002B2CF9AE}" pid="4" name="ICV">
    <vt:lpwstr>D1F1CB50DF954A61856104DCAEF40884_12</vt:lpwstr>
  </property>
</Properties>
</file>