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EC538" w14:textId="51B5C8B7" w:rsidR="00DE5969" w:rsidRPr="00201846" w:rsidRDefault="00BA25BB" w:rsidP="00661F93">
      <w:pPr>
        <w:ind w:right="-13"/>
        <w:jc w:val="center"/>
        <w:rPr>
          <w:b/>
          <w:szCs w:val="28"/>
        </w:rPr>
      </w:pPr>
      <w:bookmarkStart w:id="0" w:name="_Hlk227596059"/>
      <w:bookmarkEnd w:id="0"/>
      <w:r>
        <w:rPr>
          <w:b/>
          <w:szCs w:val="28"/>
        </w:rPr>
        <w:t>Mẫu 06-T</w:t>
      </w:r>
    </w:p>
    <w:p w14:paraId="6DB1D9BF" w14:textId="6176E95F" w:rsidR="0001775C" w:rsidRDefault="000243B7" w:rsidP="0001775C">
      <w:pPr>
        <w:spacing w:before="120"/>
        <w:jc w:val="center"/>
        <w:rPr>
          <w:sz w:val="27"/>
          <w:szCs w:val="27"/>
        </w:rPr>
      </w:pPr>
      <w:r>
        <w:rPr>
          <w:i/>
          <w:sz w:val="27"/>
          <w:szCs w:val="27"/>
        </w:rPr>
        <w:t xml:space="preserve"> </w:t>
      </w:r>
      <w:r w:rsidR="0001775C">
        <w:rPr>
          <w:i/>
          <w:sz w:val="27"/>
          <w:szCs w:val="27"/>
        </w:rPr>
        <w:t xml:space="preserve">(Kèm theo Hướng dẫn số </w:t>
      </w:r>
      <w:r w:rsidR="00781320">
        <w:rPr>
          <w:i/>
          <w:sz w:val="27"/>
          <w:szCs w:val="27"/>
        </w:rPr>
        <w:t>06</w:t>
      </w:r>
      <w:r w:rsidR="0001775C">
        <w:rPr>
          <w:i/>
          <w:sz w:val="27"/>
          <w:szCs w:val="27"/>
        </w:rPr>
        <w:t xml:space="preserve">/HD-BCĐ ngày </w:t>
      </w:r>
      <w:r w:rsidR="00781320">
        <w:rPr>
          <w:i/>
          <w:sz w:val="27"/>
          <w:szCs w:val="27"/>
        </w:rPr>
        <w:t>22</w:t>
      </w:r>
      <w:r w:rsidR="0001775C">
        <w:rPr>
          <w:i/>
          <w:sz w:val="27"/>
          <w:szCs w:val="27"/>
        </w:rPr>
        <w:t>/4/2026 của Ban Chỉ đạo)</w:t>
      </w:r>
    </w:p>
    <w:p w14:paraId="2797FC14" w14:textId="77777777" w:rsidR="008650E1" w:rsidRPr="00201846" w:rsidRDefault="000D6C07" w:rsidP="0001775C">
      <w:pPr>
        <w:jc w:val="center"/>
        <w:rPr>
          <w:b/>
          <w:sz w:val="26"/>
          <w:szCs w:val="26"/>
        </w:rPr>
      </w:pPr>
      <w:r w:rsidRPr="00201846">
        <w:rPr>
          <w:b/>
          <w:noProof/>
          <w:sz w:val="26"/>
          <w:szCs w:val="26"/>
          <w:lang w:val="en-ZW" w:eastAsia="ja-JP"/>
        </w:rPr>
        <mc:AlternateContent>
          <mc:Choice Requires="wps">
            <w:drawing>
              <wp:anchor distT="0" distB="0" distL="114300" distR="114300" simplePos="0" relativeHeight="251657216" behindDoc="0" locked="0" layoutInCell="1" allowOverlap="1" wp14:anchorId="0DCE80E8" wp14:editId="07777777">
                <wp:simplePos x="0" y="0"/>
                <wp:positionH relativeFrom="column">
                  <wp:posOffset>3699510</wp:posOffset>
                </wp:positionH>
                <wp:positionV relativeFrom="paragraph">
                  <wp:posOffset>53975</wp:posOffset>
                </wp:positionV>
                <wp:extent cx="1828800" cy="0"/>
                <wp:effectExtent l="13335" t="6350" r="5715" b="12700"/>
                <wp:wrapNone/>
                <wp:docPr id="191823553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B326092">
              <v:shapetype id="_x0000_t32" coordsize="21600,21600" o:oned="t" filled="f" o:spt="32" path="m,l21600,21600e" w14:anchorId="385A4F3E">
                <v:path fillok="f" arrowok="t" o:connecttype="none"/>
                <o:lock v:ext="edit" shapetype="t"/>
              </v:shapetype>
              <v:shape id="AutoShape 5" style="position:absolute;margin-left:291.3pt;margin-top:4.25pt;width:2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644A0591" w14:textId="77777777" w:rsidR="00996021" w:rsidRPr="00661F93" w:rsidRDefault="00996021" w:rsidP="00661F93">
      <w:pPr>
        <w:widowControl w:val="0"/>
        <w:spacing w:before="120" w:after="120" w:line="360" w:lineRule="exact"/>
        <w:ind w:firstLine="567"/>
        <w:jc w:val="both"/>
        <w:rPr>
          <w:b/>
          <w:szCs w:val="28"/>
        </w:rPr>
      </w:pPr>
      <w:r w:rsidRPr="00337B38">
        <w:rPr>
          <w:b/>
          <w:szCs w:val="28"/>
        </w:rPr>
        <w:t>Lưu ý:</w:t>
      </w:r>
      <w:r w:rsidRPr="00661F93">
        <w:rPr>
          <w:b/>
          <w:szCs w:val="28"/>
        </w:rPr>
        <w:t xml:space="preserve"> </w:t>
      </w:r>
    </w:p>
    <w:p w14:paraId="521E8111" w14:textId="77777777" w:rsidR="00996021" w:rsidRDefault="00996021" w:rsidP="00661F93">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 xml:space="preserve">Phần mềm hỗ trợ kiểm tra, rà soát VBQPPL </w:t>
      </w:r>
      <w:r w:rsidR="00661F93">
        <w:rPr>
          <w:bCs/>
        </w:rPr>
        <w:t>tại</w:t>
      </w:r>
      <w:r w:rsidR="00661F93">
        <w:rPr>
          <w:bCs/>
          <w:lang w:val="vi-VN"/>
        </w:rPr>
        <w:t xml:space="preserve"> </w:t>
      </w:r>
      <w:r>
        <w:rPr>
          <w:bCs/>
          <w:szCs w:val="28"/>
        </w:rPr>
        <w:t xml:space="preserve">địa chỉ: </w:t>
      </w:r>
      <w:r>
        <w:rPr>
          <w:b/>
        </w:rPr>
        <w:t>https://kiemtrarasoat.moj.gov.vn</w:t>
      </w:r>
      <w:r>
        <w:rPr>
          <w:bCs/>
          <w:szCs w:val="28"/>
        </w:rPr>
        <w:t>.</w:t>
      </w:r>
    </w:p>
    <w:p w14:paraId="617D90AF" w14:textId="77777777" w:rsidR="00996021" w:rsidRDefault="00996021" w:rsidP="00661F93">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sidR="00661F93">
        <w:rPr>
          <w:b/>
          <w:szCs w:val="28"/>
          <w:lang w:val="vi-VN"/>
        </w:rPr>
        <w:t xml:space="preserve"> xuống</w:t>
      </w:r>
      <w:r>
        <w:rPr>
          <w:bCs/>
          <w:szCs w:val="28"/>
        </w:rPr>
        <w:t xml:space="preserve"> từ địa chỉ: </w:t>
      </w:r>
      <w:r>
        <w:rPr>
          <w:b/>
        </w:rPr>
        <w:t>https://kiemtrarasoat.moj.gov.vn.</w:t>
      </w:r>
    </w:p>
    <w:p w14:paraId="36BB918F" w14:textId="42FBA9CD" w:rsidR="00996021" w:rsidRPr="00BA08C0" w:rsidRDefault="00996021" w:rsidP="00C65201">
      <w:pPr>
        <w:shd w:val="clear" w:color="auto" w:fill="FFFFFF"/>
        <w:spacing w:before="120" w:after="120" w:line="360" w:lineRule="exact"/>
        <w:jc w:val="both"/>
        <w:rPr>
          <w:bCs/>
          <w:sz w:val="26"/>
          <w:szCs w:val="26"/>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14:paraId="529A9C6F" w14:textId="77777777" w:rsidR="00A272F3" w:rsidRPr="00201846" w:rsidRDefault="00A272F3" w:rsidP="00661F93">
      <w:pPr>
        <w:ind w:right="-13"/>
        <w:jc w:val="center"/>
        <w:rPr>
          <w:b/>
          <w:sz w:val="26"/>
          <w:szCs w:val="26"/>
        </w:rPr>
      </w:pPr>
      <w:r w:rsidRPr="00201846">
        <w:rPr>
          <w:b/>
          <w:sz w:val="26"/>
          <w:szCs w:val="26"/>
        </w:rPr>
        <w:t>Phụ lục</w:t>
      </w:r>
      <w:r w:rsidR="00743989">
        <w:rPr>
          <w:b/>
          <w:sz w:val="26"/>
          <w:szCs w:val="26"/>
        </w:rPr>
        <w:t xml:space="preserve"> </w:t>
      </w:r>
      <w:r w:rsidR="002E6937">
        <w:rPr>
          <w:b/>
          <w:sz w:val="26"/>
          <w:szCs w:val="26"/>
        </w:rPr>
        <w:t>I</w:t>
      </w:r>
      <w:r w:rsidR="00354B35">
        <w:rPr>
          <w:b/>
          <w:sz w:val="26"/>
          <w:szCs w:val="26"/>
        </w:rPr>
        <w:t>V</w:t>
      </w:r>
    </w:p>
    <w:p w14:paraId="3117A4F6" w14:textId="77777777" w:rsidR="00B50F78" w:rsidRDefault="00B50F78" w:rsidP="00661F93">
      <w:pPr>
        <w:shd w:val="clear" w:color="auto" w:fill="FFFFFF"/>
        <w:jc w:val="center"/>
        <w:rPr>
          <w:b/>
          <w:bCs/>
          <w:szCs w:val="28"/>
        </w:rPr>
      </w:pPr>
      <w:r>
        <w:rPr>
          <w:b/>
          <w:bCs/>
          <w:szCs w:val="28"/>
        </w:rPr>
        <w:t>DANH MỤC</w:t>
      </w:r>
    </w:p>
    <w:p w14:paraId="64E289AB" w14:textId="78026EF8" w:rsidR="000243B7" w:rsidRPr="00A026CE" w:rsidRDefault="00CB190A" w:rsidP="00661F93">
      <w:pPr>
        <w:shd w:val="clear" w:color="auto" w:fill="FFFFFF"/>
        <w:jc w:val="center"/>
        <w:rPr>
          <w:color w:val="000000"/>
          <w:szCs w:val="28"/>
        </w:rPr>
      </w:pPr>
      <w:r>
        <w:rPr>
          <w:b/>
          <w:bCs/>
          <w:szCs w:val="28"/>
        </w:rPr>
        <w:t>Văn bản quy phạm pháp luật của HĐND, UBND, Chủ tịch UBND cấp tỉnh cần bãi bỏ toàn bộ</w:t>
      </w:r>
    </w:p>
    <w:p w14:paraId="13E6C665" w14:textId="1B06F7F1" w:rsidR="00C90D01" w:rsidRPr="00E07D07" w:rsidRDefault="00C90D01" w:rsidP="00C90D01">
      <w:pPr>
        <w:tabs>
          <w:tab w:val="right" w:leader="dot" w:pos="6804"/>
        </w:tabs>
        <w:jc w:val="center"/>
        <w:rPr>
          <w:b/>
          <w:sz w:val="26"/>
          <w:szCs w:val="26"/>
          <w:vertAlign w:val="superscript"/>
        </w:rPr>
      </w:pPr>
      <w:bookmarkStart w:id="1" w:name="_Hlk227595043"/>
      <w:r>
        <w:rPr>
          <w:b/>
          <w:sz w:val="26"/>
          <w:szCs w:val="26"/>
        </w:rPr>
        <w:t>Cơ quan rà soát: Sở Tài chính</w:t>
      </w:r>
    </w:p>
    <w:p w14:paraId="51D44115" w14:textId="2FED5C00" w:rsidR="00C90D01" w:rsidRDefault="00C90D01" w:rsidP="00C90D01">
      <w:pPr>
        <w:jc w:val="center"/>
        <w:rPr>
          <w:bCs/>
          <w:i/>
          <w:iCs/>
          <w:sz w:val="26"/>
          <w:szCs w:val="26"/>
        </w:rPr>
      </w:pPr>
      <w:r>
        <w:rPr>
          <w:bCs/>
          <w:i/>
          <w:iCs/>
          <w:sz w:val="26"/>
          <w:szCs w:val="26"/>
        </w:rPr>
        <w:t>(Kèm theo Báo cáo số: ......... ngày ......... của Sở Tài chính)</w:t>
      </w:r>
    </w:p>
    <w:bookmarkEnd w:id="1"/>
    <w:p w14:paraId="10B82717" w14:textId="77777777" w:rsidR="0085786E" w:rsidRPr="00772A69" w:rsidRDefault="000D6C07" w:rsidP="00772A69">
      <w:pPr>
        <w:jc w:val="center"/>
        <w:rPr>
          <w:bCs/>
          <w:i/>
          <w:iCs/>
          <w:sz w:val="26"/>
          <w:szCs w:val="26"/>
        </w:rPr>
      </w:pPr>
      <w:r>
        <w:rPr>
          <w:bCs/>
          <w:i/>
          <w:iCs/>
          <w:noProof/>
          <w:sz w:val="26"/>
          <w:szCs w:val="26"/>
          <w:lang w:val="en-ZW" w:eastAsia="ja-JP"/>
        </w:rPr>
        <mc:AlternateContent>
          <mc:Choice Requires="wps">
            <w:drawing>
              <wp:anchor distT="0" distB="0" distL="114300" distR="114300" simplePos="0" relativeHeight="251658240" behindDoc="0" locked="0" layoutInCell="1" allowOverlap="1" wp14:anchorId="69EC1174" wp14:editId="07777777">
                <wp:simplePos x="0" y="0"/>
                <wp:positionH relativeFrom="column">
                  <wp:posOffset>3824605</wp:posOffset>
                </wp:positionH>
                <wp:positionV relativeFrom="paragraph">
                  <wp:posOffset>74930</wp:posOffset>
                </wp:positionV>
                <wp:extent cx="1743075" cy="0"/>
                <wp:effectExtent l="5080" t="8255" r="13970" b="10795"/>
                <wp:wrapNone/>
                <wp:docPr id="68646873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E46BE19">
              <v:shape id="AutoShape 6" style="position:absolute;margin-left:301.15pt;margin-top:5.9pt;width:13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HNUyITdAAAACQEAAA8AAABkcnMvZG93bnJl di54bWxMj0FPwzAMhe9I/IfISFwQS1pE2UrTaULiwJFtEtes8dpC41RNupb9eow4jJvt9/T8vWI9 u06ccAitJw3JQoFAqrxtqdaw373eL0GEaMiazhNq+MYA6/L6qjC59RO942kba8EhFHKjoYmxz6UM VYPOhIXvkVg7+sGZyOtQSzuYicNdJ1OlMulMS/yhMT2+NFh9bUenAcP4mKjNytX7t/N095GeP6d+ p/Xtzbx5BhFxjhcz/OIzOpTMdPAj2SA6DZlKH9jKQsIV2LB8yng4/B1kWcj/DcofAAAA//8DAFBL AQItABQABgAIAAAAIQC2gziS/gAAAOEBAAATAAAAAAAAAAAAAAAAAAAAAABbQ29udGVudF9UeXBl c10ueG1sUEsBAi0AFAAGAAgAAAAhADj9If/WAAAAlAEAAAsAAAAAAAAAAAAAAAAALwEAAF9yZWxz Ly5yZWxzUEsBAi0AFAAGAAgAAAAhAHzemdG5AQAAVgMAAA4AAAAAAAAAAAAAAAAALgIAAGRycy9l Mm9Eb2MueG1sUEsBAi0AFAAGAAgAAAAhAHNUyITdAAAACQEAAA8AAAAAAAAAAAAAAAAAEwQAAGRy cy9kb3ducmV2LnhtbFBLBQYAAAAABAAEAPMAAAAdBQAAAAA= " w14:anchorId="3F998585"/>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26"/>
        <w:gridCol w:w="2143"/>
        <w:gridCol w:w="3077"/>
        <w:gridCol w:w="1980"/>
        <w:gridCol w:w="2610"/>
        <w:gridCol w:w="1980"/>
      </w:tblGrid>
      <w:tr w:rsidR="00BE03DE" w:rsidRPr="007E433C" w14:paraId="286964B1" w14:textId="77777777" w:rsidTr="00BE03DE">
        <w:trPr>
          <w:trHeight w:val="854"/>
          <w:tblHeader/>
        </w:trPr>
        <w:tc>
          <w:tcPr>
            <w:tcW w:w="959" w:type="dxa"/>
            <w:shd w:val="clear" w:color="auto" w:fill="F7CAAC" w:themeFill="accent2" w:themeFillTint="66"/>
            <w:vAlign w:val="center"/>
          </w:tcPr>
          <w:p w14:paraId="21830D50" w14:textId="77777777" w:rsidR="00BE03DE" w:rsidRPr="007E433C" w:rsidRDefault="00BE03DE" w:rsidP="006A3393">
            <w:pPr>
              <w:jc w:val="center"/>
              <w:rPr>
                <w:b/>
                <w:bCs/>
                <w:iCs/>
                <w:sz w:val="24"/>
              </w:rPr>
            </w:pPr>
            <w:r w:rsidRPr="007E433C">
              <w:rPr>
                <w:b/>
                <w:bCs/>
                <w:iCs/>
                <w:sz w:val="24"/>
              </w:rPr>
              <w:t>STT</w:t>
            </w:r>
          </w:p>
        </w:tc>
        <w:tc>
          <w:tcPr>
            <w:tcW w:w="1826" w:type="dxa"/>
            <w:shd w:val="clear" w:color="auto" w:fill="F7CAAC" w:themeFill="accent2" w:themeFillTint="66"/>
            <w:vAlign w:val="center"/>
          </w:tcPr>
          <w:p w14:paraId="3BA28291" w14:textId="77777777" w:rsidR="00BE03DE" w:rsidRPr="007E433C" w:rsidRDefault="00BE03DE" w:rsidP="006A3393">
            <w:pPr>
              <w:jc w:val="center"/>
              <w:rPr>
                <w:b/>
                <w:bCs/>
                <w:iCs/>
                <w:sz w:val="24"/>
              </w:rPr>
            </w:pPr>
            <w:r w:rsidRPr="007E433C">
              <w:rPr>
                <w:b/>
                <w:bCs/>
                <w:iCs/>
                <w:sz w:val="24"/>
              </w:rPr>
              <w:t>Tên VB được rà soát</w:t>
            </w:r>
          </w:p>
        </w:tc>
        <w:tc>
          <w:tcPr>
            <w:tcW w:w="2143" w:type="dxa"/>
            <w:shd w:val="clear" w:color="auto" w:fill="F7CAAC" w:themeFill="accent2" w:themeFillTint="66"/>
            <w:vAlign w:val="center"/>
          </w:tcPr>
          <w:p w14:paraId="6477B99C" w14:textId="77777777" w:rsidR="00BE03DE" w:rsidRPr="007E433C" w:rsidRDefault="00BE03DE" w:rsidP="006A3393">
            <w:pPr>
              <w:jc w:val="center"/>
              <w:rPr>
                <w:b/>
                <w:bCs/>
                <w:iCs/>
                <w:sz w:val="24"/>
              </w:rPr>
            </w:pPr>
            <w:r w:rsidRPr="007E433C">
              <w:rPr>
                <w:b/>
                <w:bCs/>
                <w:iCs/>
                <w:sz w:val="24"/>
              </w:rPr>
              <w:t>Căn cứ rà soát</w:t>
            </w:r>
          </w:p>
        </w:tc>
        <w:tc>
          <w:tcPr>
            <w:tcW w:w="3077" w:type="dxa"/>
            <w:shd w:val="clear" w:color="auto" w:fill="F7CAAC" w:themeFill="accent2" w:themeFillTint="66"/>
            <w:vAlign w:val="center"/>
          </w:tcPr>
          <w:p w14:paraId="0155E94F" w14:textId="77777777" w:rsidR="00BE03DE" w:rsidRDefault="00BE03DE" w:rsidP="00BE03DE">
            <w:pPr>
              <w:jc w:val="center"/>
              <w:rPr>
                <w:b/>
                <w:bCs/>
                <w:sz w:val="24"/>
              </w:rPr>
            </w:pPr>
            <w:r>
              <w:rPr>
                <w:b/>
                <w:bCs/>
                <w:sz w:val="24"/>
              </w:rPr>
              <w:t>Phân tích lý do đề xuất</w:t>
            </w:r>
          </w:p>
          <w:p w14:paraId="601873B5" w14:textId="57E43F49" w:rsidR="00BE03DE" w:rsidRPr="007E433C" w:rsidRDefault="00BE03DE" w:rsidP="00BE03DE">
            <w:pPr>
              <w:jc w:val="center"/>
              <w:rPr>
                <w:b/>
                <w:bCs/>
                <w:sz w:val="24"/>
              </w:rPr>
            </w:pPr>
            <w:r>
              <w:rPr>
                <w:b/>
                <w:bCs/>
                <w:sz w:val="24"/>
              </w:rPr>
              <w:t>bãi bỏ toàn bộ</w:t>
            </w:r>
          </w:p>
        </w:tc>
        <w:tc>
          <w:tcPr>
            <w:tcW w:w="1980" w:type="dxa"/>
            <w:shd w:val="clear" w:color="auto" w:fill="F7CAAC" w:themeFill="accent2" w:themeFillTint="66"/>
            <w:vAlign w:val="center"/>
          </w:tcPr>
          <w:p w14:paraId="1254CD93" w14:textId="77777777" w:rsidR="00BE03DE" w:rsidRPr="007E433C" w:rsidRDefault="00BE03DE" w:rsidP="00BE03DE">
            <w:pPr>
              <w:jc w:val="center"/>
              <w:rPr>
                <w:b/>
                <w:bCs/>
                <w:iCs/>
                <w:sz w:val="24"/>
              </w:rPr>
            </w:pPr>
            <w:r w:rsidRPr="007E433C">
              <w:rPr>
                <w:b/>
                <w:bCs/>
                <w:iCs/>
                <w:sz w:val="24"/>
              </w:rPr>
              <w:t>Lộ trình</w:t>
            </w:r>
          </w:p>
          <w:p w14:paraId="251BBF05" w14:textId="5A5F4C4E" w:rsidR="00BE03DE" w:rsidRPr="007E433C" w:rsidRDefault="00BE03DE" w:rsidP="00BE03DE">
            <w:pPr>
              <w:jc w:val="center"/>
              <w:rPr>
                <w:b/>
                <w:bCs/>
                <w:sz w:val="24"/>
              </w:rPr>
            </w:pPr>
            <w:r w:rsidRPr="007E433C">
              <w:rPr>
                <w:b/>
                <w:bCs/>
                <w:iCs/>
                <w:sz w:val="24"/>
              </w:rPr>
              <w:t>xử lý</w:t>
            </w:r>
          </w:p>
        </w:tc>
        <w:tc>
          <w:tcPr>
            <w:tcW w:w="2610" w:type="dxa"/>
            <w:shd w:val="clear" w:color="auto" w:fill="F7CAAC" w:themeFill="accent2" w:themeFillTint="66"/>
            <w:vAlign w:val="center"/>
          </w:tcPr>
          <w:p w14:paraId="13704C84" w14:textId="4B444DEB" w:rsidR="00BE03DE" w:rsidRPr="007E433C" w:rsidRDefault="00BE03DE" w:rsidP="006A3393">
            <w:pPr>
              <w:jc w:val="center"/>
              <w:rPr>
                <w:b/>
                <w:bCs/>
                <w:iCs/>
                <w:sz w:val="24"/>
              </w:rPr>
            </w:pPr>
            <w:r w:rsidRPr="007E433C">
              <w:rPr>
                <w:b/>
                <w:bCs/>
                <w:iCs/>
                <w:sz w:val="24"/>
              </w:rPr>
              <w:t>Tiêu chí rà soát</w:t>
            </w:r>
          </w:p>
        </w:tc>
        <w:tc>
          <w:tcPr>
            <w:tcW w:w="1980" w:type="dxa"/>
            <w:shd w:val="clear" w:color="auto" w:fill="F7CAAC" w:themeFill="accent2" w:themeFillTint="66"/>
            <w:vAlign w:val="center"/>
          </w:tcPr>
          <w:p w14:paraId="56342A4F" w14:textId="53D6A112" w:rsidR="00BE03DE" w:rsidRPr="007E433C" w:rsidRDefault="00BE03DE" w:rsidP="006A3393">
            <w:pPr>
              <w:jc w:val="center"/>
              <w:rPr>
                <w:b/>
                <w:bCs/>
                <w:iCs/>
                <w:sz w:val="24"/>
              </w:rPr>
            </w:pPr>
            <w:r w:rsidRPr="007E433C">
              <w:rPr>
                <w:b/>
                <w:bCs/>
                <w:iCs/>
                <w:sz w:val="24"/>
              </w:rPr>
              <w:t>Ghi chú</w:t>
            </w:r>
          </w:p>
        </w:tc>
      </w:tr>
      <w:tr w:rsidR="00BE03DE" w:rsidRPr="007E433C" w14:paraId="5D5A8F43" w14:textId="77777777" w:rsidTr="00BE03DE">
        <w:trPr>
          <w:tblHeader/>
        </w:trPr>
        <w:tc>
          <w:tcPr>
            <w:tcW w:w="959" w:type="dxa"/>
            <w:shd w:val="clear" w:color="auto" w:fill="F7CAAC" w:themeFill="accent2" w:themeFillTint="66"/>
          </w:tcPr>
          <w:p w14:paraId="6E4893D8" w14:textId="77777777" w:rsidR="00BE03DE" w:rsidRPr="007E433C" w:rsidRDefault="00BE03DE" w:rsidP="006A3393">
            <w:pPr>
              <w:jc w:val="center"/>
              <w:rPr>
                <w:b/>
                <w:bCs/>
                <w:iCs/>
                <w:sz w:val="24"/>
              </w:rPr>
            </w:pPr>
            <w:r w:rsidRPr="007E433C">
              <w:rPr>
                <w:b/>
                <w:bCs/>
                <w:iCs/>
                <w:sz w:val="24"/>
              </w:rPr>
              <w:t>(1)</w:t>
            </w:r>
          </w:p>
        </w:tc>
        <w:tc>
          <w:tcPr>
            <w:tcW w:w="1826" w:type="dxa"/>
            <w:shd w:val="clear" w:color="auto" w:fill="F7CAAC" w:themeFill="accent2" w:themeFillTint="66"/>
          </w:tcPr>
          <w:p w14:paraId="715CB27D" w14:textId="77777777" w:rsidR="00BE03DE" w:rsidRPr="007E433C" w:rsidRDefault="00BE03DE" w:rsidP="006A3393">
            <w:pPr>
              <w:jc w:val="center"/>
              <w:rPr>
                <w:b/>
                <w:bCs/>
                <w:iCs/>
                <w:sz w:val="24"/>
              </w:rPr>
            </w:pPr>
            <w:r w:rsidRPr="007E433C">
              <w:rPr>
                <w:b/>
                <w:bCs/>
                <w:iCs/>
                <w:sz w:val="24"/>
              </w:rPr>
              <w:t>(2)</w:t>
            </w:r>
          </w:p>
        </w:tc>
        <w:tc>
          <w:tcPr>
            <w:tcW w:w="2143" w:type="dxa"/>
            <w:shd w:val="clear" w:color="auto" w:fill="F7CAAC" w:themeFill="accent2" w:themeFillTint="66"/>
          </w:tcPr>
          <w:p w14:paraId="0C384A58" w14:textId="77777777" w:rsidR="00BE03DE" w:rsidRPr="007E433C" w:rsidRDefault="00BE03DE" w:rsidP="006A3393">
            <w:pPr>
              <w:jc w:val="center"/>
              <w:rPr>
                <w:b/>
                <w:bCs/>
                <w:iCs/>
                <w:sz w:val="24"/>
              </w:rPr>
            </w:pPr>
            <w:r w:rsidRPr="007E433C">
              <w:rPr>
                <w:b/>
                <w:bCs/>
                <w:iCs/>
                <w:sz w:val="24"/>
              </w:rPr>
              <w:t>(3)</w:t>
            </w:r>
          </w:p>
        </w:tc>
        <w:tc>
          <w:tcPr>
            <w:tcW w:w="3077" w:type="dxa"/>
            <w:shd w:val="clear" w:color="auto" w:fill="F7CAAC" w:themeFill="accent2" w:themeFillTint="66"/>
          </w:tcPr>
          <w:p w14:paraId="6688B8DB" w14:textId="77777777" w:rsidR="00BE03DE" w:rsidRPr="007E433C" w:rsidRDefault="00BE03DE" w:rsidP="006A3393">
            <w:pPr>
              <w:jc w:val="center"/>
              <w:rPr>
                <w:b/>
                <w:bCs/>
                <w:iCs/>
                <w:sz w:val="24"/>
              </w:rPr>
            </w:pPr>
            <w:r w:rsidRPr="007E433C">
              <w:rPr>
                <w:b/>
                <w:bCs/>
                <w:iCs/>
                <w:sz w:val="24"/>
              </w:rPr>
              <w:t>(4)</w:t>
            </w:r>
          </w:p>
        </w:tc>
        <w:tc>
          <w:tcPr>
            <w:tcW w:w="1980" w:type="dxa"/>
            <w:shd w:val="clear" w:color="auto" w:fill="F7CAAC" w:themeFill="accent2" w:themeFillTint="66"/>
          </w:tcPr>
          <w:p w14:paraId="26288DD1" w14:textId="77777777" w:rsidR="00BE03DE" w:rsidRPr="007E433C" w:rsidRDefault="00BE03DE" w:rsidP="006A3393">
            <w:pPr>
              <w:jc w:val="center"/>
              <w:rPr>
                <w:b/>
                <w:bCs/>
                <w:iCs/>
                <w:sz w:val="24"/>
              </w:rPr>
            </w:pPr>
            <w:r w:rsidRPr="007E433C">
              <w:rPr>
                <w:b/>
                <w:bCs/>
                <w:iCs/>
                <w:sz w:val="24"/>
              </w:rPr>
              <w:t>(5)</w:t>
            </w:r>
          </w:p>
        </w:tc>
        <w:tc>
          <w:tcPr>
            <w:tcW w:w="2610" w:type="dxa"/>
            <w:shd w:val="clear" w:color="auto" w:fill="F7CAAC" w:themeFill="accent2" w:themeFillTint="66"/>
          </w:tcPr>
          <w:p w14:paraId="7CD53FBF" w14:textId="77777777" w:rsidR="00BE03DE" w:rsidRPr="007E433C" w:rsidRDefault="00BE03DE" w:rsidP="006A3393">
            <w:pPr>
              <w:jc w:val="center"/>
              <w:rPr>
                <w:b/>
                <w:bCs/>
                <w:iCs/>
                <w:sz w:val="24"/>
              </w:rPr>
            </w:pPr>
            <w:r w:rsidRPr="007E433C">
              <w:rPr>
                <w:b/>
                <w:bCs/>
                <w:iCs/>
                <w:sz w:val="24"/>
              </w:rPr>
              <w:t>(6)</w:t>
            </w:r>
          </w:p>
        </w:tc>
        <w:tc>
          <w:tcPr>
            <w:tcW w:w="1980" w:type="dxa"/>
            <w:shd w:val="clear" w:color="auto" w:fill="F7CAAC" w:themeFill="accent2" w:themeFillTint="66"/>
          </w:tcPr>
          <w:p w14:paraId="1BFB84C4" w14:textId="77777777" w:rsidR="00BE03DE" w:rsidRPr="007E433C" w:rsidRDefault="00BE03DE" w:rsidP="006A3393">
            <w:pPr>
              <w:jc w:val="center"/>
              <w:rPr>
                <w:b/>
                <w:bCs/>
                <w:iCs/>
                <w:sz w:val="24"/>
              </w:rPr>
            </w:pPr>
            <w:r w:rsidRPr="007E433C">
              <w:rPr>
                <w:b/>
                <w:bCs/>
                <w:iCs/>
                <w:sz w:val="24"/>
              </w:rPr>
              <w:t>(7)</w:t>
            </w:r>
          </w:p>
        </w:tc>
      </w:tr>
      <w:bookmarkEnd w:id="2"/>
      <w:tr>
        <w:trPr>
          <w:trHeight w:val="315"/>
        </w:trPr>
        <w:tc>
          <w:tcPr>
            <w:tcW w:w="14575" w:type="dxa"/>
            <w:gridSpan w:val="7"/>
            <w:vAlign w:val="center"/>
          </w:tcPr>
          <w:p>
            <w:pPr>
              <w:ind w:left="1080"/>
              <w:jc w:val="center"/>
              <w:rPr>
                <w:b/>
                <w:sz w:val="26"/>
                <w:szCs w:val="26"/>
              </w:rPr>
            </w:pPr>
            <w:r>
              <w:rPr>
                <w:b/>
                <w:sz w:val="26"/>
                <w:szCs w:val="26"/>
              </w:rPr>
              <w:t>I. TÀI CHÍNH</w:t>
            </w:r>
          </w:p>
        </w:tc>
      </w:tr>
      <w:tr>
        <w:tc>
          <w:tcPr>
            <w:tcW w:w="959" w:type="dxa"/>
            <w:vAlign w:val="center"/>
          </w:tcPr>
          <w:p>
            <w:pPr>
              <w:jc w:val="center"/>
              <w:rPr>
                <w:bCs/>
                <w:iCs/>
                <w:sz w:val="26"/>
                <w:szCs w:val="26"/>
              </w:rPr>
            </w:pPr>
            <w:r>
              <w:rPr>
                <w:bCs/>
                <w:iCs/>
                <w:sz w:val="26"/>
                <w:szCs w:val="26"/>
              </w:rPr>
              <w:t>1.</w:t>
            </w:r>
          </w:p>
        </w:tc>
        <w:tc>
          <w:tcPr>
            <w:tcW w:w="1826" w:type="dxa"/>
            <w:vAlign w:val="center"/>
          </w:tcPr>
          <w:p>
            <w:pPr>
              <w:jc w:val="both"/>
              <w:rPr>
                <w:bCs/>
                <w:iCs/>
                <w:sz w:val="26"/>
                <w:szCs w:val="26"/>
              </w:rPr>
            </w:pPr>
            <w:r>
              <w:rPr>
                <w:bCs/>
                <w:iCs/>
                <w:sz w:val="26"/>
                <w:szCs w:val="26"/>
              </w:rPr>
              <w:t>Nghị quyết số 03/2018/NQ-HĐND ngày 18/07/2018 của HĐND Tỉnh Khánh Hòa Về việc phân cấp quản lý tài sản công thuộc phạm vi quản lý của địa phương trên địa bàn tỉnh Khánh Hòa</w:t>
            </w:r>
          </w:p>
        </w:tc>
        <w:tc>
          <w:tcPr>
            <w:tcW w:w="2143" w:type="dxa"/>
            <w:vAlign w:val="center"/>
          </w:tcPr>
          <w:p>
            <w:pPr>
              <w:jc w:val="both"/>
              <w:rPr>
                <w:bCs/>
                <w:iCs/>
                <w:sz w:val="26"/>
                <w:szCs w:val="26"/>
              </w:rPr>
            </w:pPr>
            <w:r>
              <w:rPr>
                <w:bCs/>
                <w:iCs/>
                <w:sz w:val="26"/>
                <w:szCs w:val="26"/>
              </w:rPr>
              <w:t xml:space="preserve">- Luật Ban hành văn bản quy phạm pháp luật số 64/2025/QH15 ngày 19/02/2025 </w:t>
              <w:br/>
              <w:t xml:space="preserve"> - Nghị quyết số 202/2025/QH15 của Quốc Hội ngày 12 tháng 06 năm 2025 về sắp xếp đơn vị hành chính cấp tỉnh</w:t>
              <w:br/>
              <w:t>- Nghị định số 186/2025/NĐ-CP ngày 01/7/2025 của Chính phủ (được sửa đổi, bổ sung một số điều bởi Nghị định số 286/2025/NĐ-CP ngày 03/11/2025 của Chính phủ)</w:t>
            </w:r>
          </w:p>
        </w:tc>
        <w:tc>
          <w:tcPr>
            <w:tcW w:w="3077" w:type="dxa"/>
            <w:vAlign w:val="center"/>
          </w:tcPr>
          <w:p>
            <w:pPr>
              <w:jc w:val="both"/>
              <w:rPr>
                <w:bCs/>
                <w:iCs/>
                <w:sz w:val="26"/>
                <w:szCs w:val="26"/>
              </w:rPr>
            </w:pPr>
            <w:r>
              <w:rPr>
                <w:bCs/>
                <w:iCs/>
                <w:sz w:val="26"/>
                <w:szCs w:val="26"/>
              </w:rPr>
              <w:t>Chủ tịch UBND tỉnh Khánh Hòa (sau khi sắp xếp) đã ban hành Quyết định số 43/2025/QĐ-CTUBND ngày 31/12/2025 về việc phân cấp thẩm quyền quyết định trong quản lý, sử dụng tài sản công thuộc phạm vi quản lý của tỉnh Khánh Hòa để áp dụng chung cho tỉnh Khánh Hòa (mới).</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2.</w:t>
            </w:r>
          </w:p>
        </w:tc>
        <w:tc>
          <w:tcPr>
            <w:tcW w:w="1826" w:type="dxa"/>
            <w:vAlign w:val="center"/>
          </w:tcPr>
          <w:p>
            <w:pPr>
              <w:jc w:val="both"/>
              <w:rPr>
                <w:bCs/>
                <w:iCs/>
                <w:sz w:val="26"/>
                <w:szCs w:val="26"/>
              </w:rPr>
            </w:pPr>
            <w:r>
              <w:rPr>
                <w:bCs/>
                <w:iCs/>
                <w:sz w:val="26"/>
                <w:szCs w:val="26"/>
              </w:rPr>
              <w:t>Nghị quyết số 05/2018/NQ-HĐND ngày 18/07/2018 của HĐND Tỉnh Khánh Hòa Về việc phân cấp thẩm quyền xác lập quyền sở hữu toàn dân về tài sản và phê duyệt phương án xử lý tài sản được xác lập quyền sở hữu toàn dân thuộc phạm vi quản lý của địa phương trên địa bàn tỉnh Khánh Hòa</w:t>
            </w:r>
          </w:p>
        </w:tc>
        <w:tc>
          <w:tcPr>
            <w:tcW w:w="2143" w:type="dxa"/>
            <w:vAlign w:val="center"/>
          </w:tcPr>
          <w:p>
            <w:pPr>
              <w:jc w:val="both"/>
              <w:rPr>
                <w:bCs/>
                <w:iCs/>
                <w:sz w:val="26"/>
                <w:szCs w:val="26"/>
              </w:rPr>
            </w:pPr>
            <w:r>
              <w:rPr>
                <w:bCs/>
                <w:iCs/>
                <w:sz w:val="26"/>
                <w:szCs w:val="26"/>
              </w:rPr>
              <w:t xml:space="preserve">- Luật Ban hành văn bản quy phạm pháp luật số 64/2025/QH15 ngày 19/02/2025 </w:t>
              <w:br/>
              <w:t xml:space="preserve"> - Nghị quyết số 202/2025/QH15 của Quốc Hội ngày 12 tháng 06 năm 2025 về sắp xếp đơn vị hành chính cấp tỉnh</w:t>
            </w:r>
          </w:p>
        </w:tc>
        <w:tc>
          <w:tcPr>
            <w:tcW w:w="3077" w:type="dxa"/>
            <w:vAlign w:val="center"/>
          </w:tcPr>
          <w:p>
            <w:pPr>
              <w:jc w:val="both"/>
              <w:rPr>
                <w:bCs/>
                <w:iCs/>
                <w:sz w:val="26"/>
                <w:szCs w:val="26"/>
              </w:rPr>
            </w:pPr>
            <w:r>
              <w:rPr>
                <w:bCs/>
                <w:iCs/>
                <w:sz w:val="26"/>
                <w:szCs w:val="26"/>
              </w:rPr>
              <w:t>Chủ tịch UBND tỉnh Khánh Hòa (sau khi sắp xếp) đã ban hành Quyết định số 18/2026/QĐ-CTUBND ngày 03/3/2026 về việc phân cấp thẩm quyền quyết định xác lập quyền sở hữu toàn dân về tài sản và phê duyệt phương án xử lý tài sản được xác lập quyền sở hữu toàn dân thuộc phạm vi quản lý của tỉnh Khánh Hòa</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3.</w:t>
            </w:r>
          </w:p>
        </w:tc>
        <w:tc>
          <w:tcPr>
            <w:tcW w:w="1826" w:type="dxa"/>
            <w:vAlign w:val="center"/>
          </w:tcPr>
          <w:p>
            <w:pPr>
              <w:jc w:val="both"/>
              <w:rPr>
                <w:bCs/>
                <w:iCs/>
                <w:sz w:val="26"/>
                <w:szCs w:val="26"/>
              </w:rPr>
            </w:pPr>
            <w:r>
              <w:rPr>
                <w:bCs/>
                <w:iCs/>
                <w:sz w:val="26"/>
                <w:szCs w:val="26"/>
              </w:rPr>
              <w:t>Nghị quyết số 08/2018/NQ-HĐND ngày 05/12/2018 của HĐND Tỉnh Khánh Hòa Về việc quy định thời gian gửi báo cáo dự toán, phương án phân bổ và quyết toán ngân sách địa phương của ủy ban nhân dân các cấp đến hội đồng nhân dân cùng cấp; thời gian giao dự toán ngân sách địa phương của ủy ban nhân dân các cấp và hệ thống biểu mẫu các cơ quan, đơn vị gửi cơ quan tài chính và ủy ban nhân dân cấp trên của Khánh Hòa</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Sau khi thực hiện mô hình chính quyền địa phương 02 cấp, không còn ngân sách cấp huyện và UBND cấp huyện là đối tượng áp dụng của Quyết định. Bên cạnh đó theo Luật NSNN năm 2025 không còn quy định về lập kế hoạch tài chính 03 năm. Do đó, văn bản không còn phù hợp với mô hình tổ chức ngân sách hiện nay, cần bãi bỏ để bảo đảm tính thống nhất, đồng bộ trong điều hành ngân sách địa phương.</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4.</w:t>
            </w:r>
          </w:p>
        </w:tc>
        <w:tc>
          <w:tcPr>
            <w:tcW w:w="1826" w:type="dxa"/>
            <w:vAlign w:val="center"/>
          </w:tcPr>
          <w:p>
            <w:pPr>
              <w:jc w:val="both"/>
              <w:rPr>
                <w:bCs/>
                <w:iCs/>
                <w:sz w:val="26"/>
                <w:szCs w:val="26"/>
              </w:rPr>
            </w:pPr>
            <w:r>
              <w:rPr>
                <w:bCs/>
                <w:iCs/>
                <w:sz w:val="26"/>
                <w:szCs w:val="26"/>
              </w:rPr>
              <w:t>Nghị quyết số 17/2018/NQ-HĐND ngày 25/12/2018 của HĐND tỉnh Ninh Thuận Quy định một số nội dung và mức chi đối với các hội thi, cuộc thi sáng tạo khoa học công nghệ và kỹ thuật trên địa bàn tỉnh Ninh Thuận (trước sáp nhập)</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r>
          </w:p>
        </w:tc>
        <w:tc>
          <w:tcPr>
            <w:tcW w:w="3077" w:type="dxa"/>
            <w:vAlign w:val="center"/>
          </w:tcPr>
          <w:p>
            <w:pPr>
              <w:jc w:val="both"/>
              <w:rPr>
                <w:bCs/>
                <w:iCs/>
                <w:sz w:val="26"/>
                <w:szCs w:val="26"/>
              </w:rPr>
            </w:pPr>
            <w:r>
              <w:rPr>
                <w:bCs/>
                <w:iCs/>
                <w:sz w:val="26"/>
                <w:szCs w:val="26"/>
              </w:rPr>
              <w:t>Nghị quyết không còn phù</w:t>
              <w:br/>
              <w:t>hợp với quy định của pháp</w:t>
              <w:br/>
              <w:t>luật hiện hành và yêu cầu</w:t>
              <w:br/>
              <w:t>thực tiễn quản lý sau khi</w:t>
              <w:br/>
              <w:t>thực hiện hợp nhất hai tỉnh,</w:t>
              <w:br/>
              <w:t>đồng thời chưa đáp ứng yêu</w:t>
              <w:br/>
              <w:t>cầu tổ chức, vận hành mô</w:t>
              <w:br/>
              <w:t>hình chính quyền địa</w:t>
              <w:br/>
              <w:t>phương hai cấp. Vì vậy, cần</w:t>
              <w:br/>
              <w:t>bãi bỏ Nghị quyết.</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5.</w:t>
            </w:r>
          </w:p>
        </w:tc>
        <w:tc>
          <w:tcPr>
            <w:tcW w:w="1826" w:type="dxa"/>
            <w:vAlign w:val="center"/>
          </w:tcPr>
          <w:p>
            <w:pPr>
              <w:jc w:val="both"/>
              <w:rPr>
                <w:bCs/>
                <w:iCs/>
                <w:sz w:val="26"/>
                <w:szCs w:val="26"/>
              </w:rPr>
            </w:pPr>
            <w:r>
              <w:rPr>
                <w:bCs/>
                <w:iCs/>
                <w:sz w:val="26"/>
                <w:szCs w:val="26"/>
              </w:rPr>
              <w:t>Nghị quyết số 03/2019/NQ-HĐND ngày 02/07/2019 của HĐND tỉnh Ninh Thuận Quy định một số nội dung và mức chi đối với các hội thi, cuộc thi sáng tạo khoa học công nghệ và kỹ thuật trên địa bàn tỉnh Ninh Thuận (trước sáp nhập)</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r>
          </w:p>
        </w:tc>
        <w:tc>
          <w:tcPr>
            <w:tcW w:w="3077" w:type="dxa"/>
            <w:vAlign w:val="center"/>
          </w:tcPr>
          <w:p>
            <w:pPr>
              <w:jc w:val="both"/>
              <w:rPr>
                <w:bCs/>
                <w:iCs/>
                <w:sz w:val="26"/>
                <w:szCs w:val="26"/>
              </w:rPr>
            </w:pPr>
            <w:r>
              <w:rPr>
                <w:bCs/>
                <w:iCs/>
                <w:sz w:val="26"/>
                <w:szCs w:val="26"/>
              </w:rPr>
              <w:t>Nghị quyết không còn phù</w:t>
              <w:br/>
              <w:t>hợp với quy định của pháp</w:t>
              <w:br/>
              <w:t>luật hiện hành và yêu cầu</w:t>
              <w:br/>
              <w:t>thực tiễn quản lý sau khi</w:t>
              <w:br/>
              <w:t>thực hiện hợp nhất hai tỉnh,</w:t>
              <w:br/>
              <w:t>đồng thời chưa đáp ứng yêu</w:t>
              <w:br/>
              <w:t>cầu tổ chức, vận hành mô</w:t>
              <w:br/>
              <w:t>hình chính quyền địa</w:t>
              <w:br/>
              <w:t>phương hai cấp. Vì vậy, cần</w:t>
              <w:br/>
              <w:t>bãi bỏ Nghị quyết.</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6.</w:t>
            </w:r>
          </w:p>
        </w:tc>
        <w:tc>
          <w:tcPr>
            <w:tcW w:w="1826" w:type="dxa"/>
            <w:vAlign w:val="center"/>
          </w:tcPr>
          <w:p>
            <w:pPr>
              <w:jc w:val="both"/>
              <w:rPr>
                <w:bCs/>
                <w:iCs/>
                <w:sz w:val="26"/>
                <w:szCs w:val="26"/>
              </w:rPr>
            </w:pPr>
            <w:r>
              <w:rPr>
                <w:bCs/>
                <w:iCs/>
                <w:sz w:val="26"/>
                <w:szCs w:val="26"/>
              </w:rPr>
              <w:t>Nghị quyết số 05/2019/NQ-HĐND ngày 12/07/2019 của HĐND tỉnh Ninh Thuận Quy định một số nội dung và mức chi từ ngân sách nhà nước để thực hiện hoạt động sáng kiến trên địa bàn tỉnh Ninh Thuận (trước sáp nhập)</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Nghị quyết không còn phù</w:t>
              <w:br/>
              <w:t>hợp với quy định của pháp</w:t>
              <w:br/>
              <w:t>luật hiện hành và yêu cầu</w:t>
              <w:br/>
              <w:t>thực tiễn quản lý sau khi</w:t>
              <w:br/>
              <w:t>thực hiện hợp nhất hai tỉnh,</w:t>
              <w:br/>
              <w:t>đồng thời chưa đáp ứng yêu</w:t>
              <w:br/>
              <w:t>cầu tổ chức, vận hành mô</w:t>
              <w:br/>
              <w:t>hình chính quyền địa</w:t>
              <w:br/>
              <w:t>phương hai cấp. Vì vậy, cần</w:t>
              <w:br/>
              <w:t>bãi bỏ Nghị quyết.</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7.</w:t>
            </w:r>
          </w:p>
        </w:tc>
        <w:tc>
          <w:tcPr>
            <w:tcW w:w="1826" w:type="dxa"/>
            <w:vAlign w:val="center"/>
          </w:tcPr>
          <w:p>
            <w:pPr>
              <w:jc w:val="both"/>
              <w:rPr>
                <w:bCs/>
                <w:iCs/>
                <w:sz w:val="26"/>
                <w:szCs w:val="26"/>
              </w:rPr>
            </w:pPr>
            <w:r>
              <w:rPr>
                <w:bCs/>
                <w:iCs/>
                <w:sz w:val="26"/>
                <w:szCs w:val="26"/>
              </w:rPr>
              <w:t>Nghị quyết số 08/2019/NQ-HĐND ngày 12/07/2019 của HĐND tỉnh Ninh Thuận Quy định mức kinh phí hỗ trợ hoạt động của ban thanh tra nhân dân cấp xã trên địa bàn tỉnh Ninh Thuận (trước sáp nhập)</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Nghị quyết không còn phù</w:t>
              <w:br/>
              <w:t>hợp với quy định của pháp</w:t>
              <w:br/>
              <w:t>luật hiện hành và yêu cầu</w:t>
              <w:br/>
              <w:t>thực tiễn quản lý sau khi</w:t>
              <w:br/>
              <w:t>thực hiện hợp nhất hai tỉnh,</w:t>
              <w:br/>
              <w:t>đồng thời chưa đáp ứng yêu</w:t>
              <w:br/>
              <w:t>cầu tổ chức, vận hành mô</w:t>
              <w:br/>
              <w:t>hình chính quyền địa</w:t>
              <w:br/>
              <w:t>phương hai cấp. Vì vậy, cần</w:t>
              <w:br/>
              <w:t>bãi bỏ Nghị quyết.</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8.</w:t>
            </w:r>
          </w:p>
        </w:tc>
        <w:tc>
          <w:tcPr>
            <w:tcW w:w="1826" w:type="dxa"/>
            <w:vAlign w:val="center"/>
          </w:tcPr>
          <w:p>
            <w:pPr>
              <w:jc w:val="both"/>
              <w:rPr>
                <w:bCs/>
                <w:iCs/>
                <w:sz w:val="26"/>
                <w:szCs w:val="26"/>
              </w:rPr>
            </w:pPr>
            <w:r>
              <w:rPr>
                <w:bCs/>
                <w:iCs/>
                <w:sz w:val="26"/>
                <w:szCs w:val="26"/>
              </w:rPr>
              <w:t>Nghị quyết số 08/2020/NQ-HĐND ngày 17/07/2020 của HĐND tỉnh Ninh Thuận Quy định mức chi hỗ trợ cho công tác hỗ trợ nạn nhân; chế độ hỗ trợ nạn nhân quy định tại nghị định số 09/2013/NĐ-CP ngày 11/01/2013 của chính phủ quy định chi tiết thi hành một số điều của luật phòng, chống mua bán người trên địa bàn tỉnh Ninh Thuận (trước sáp nhập)</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Nghị quyết không còn phù</w:t>
              <w:br/>
              <w:t>hợp với quy định của pháp</w:t>
              <w:br/>
              <w:t>luật hiện hành và yêu cầu</w:t>
              <w:br/>
              <w:t>thực tiễn quản lý sau khi</w:t>
              <w:br/>
              <w:t>thực hiện hợp nhất hai tỉnh,</w:t>
              <w:br/>
              <w:t>đồng thời chưa đáp ứng yêu</w:t>
              <w:br/>
              <w:t>cầu tổ chức, vận hành mô</w:t>
              <w:br/>
              <w:t>hình chính quyền địa</w:t>
              <w:br/>
              <w:t>phương hai cấp. Vì vậy, cần</w:t>
              <w:br/>
              <w:t>bãi bỏ Nghị quyết.</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9.</w:t>
            </w:r>
          </w:p>
        </w:tc>
        <w:tc>
          <w:tcPr>
            <w:tcW w:w="1826" w:type="dxa"/>
            <w:vAlign w:val="center"/>
          </w:tcPr>
          <w:p>
            <w:pPr>
              <w:jc w:val="both"/>
              <w:rPr>
                <w:bCs/>
                <w:iCs/>
                <w:sz w:val="26"/>
                <w:szCs w:val="26"/>
              </w:rPr>
            </w:pPr>
            <w:r>
              <w:rPr>
                <w:bCs/>
                <w:iCs/>
                <w:sz w:val="26"/>
                <w:szCs w:val="26"/>
              </w:rPr>
              <w:t>Nghị quyết số 17/2022/NQ-HĐND ngày 15/11/2022 của HĐND tỉnh Khánh Hòa Về cho phép các huyện, thị xã, thành phố thuộc tỉnh sử dụng ngân sách các huyện, thị xã, thành phố và nguồn hợp pháp khác để hỗ trợ cho huyện Khánh Vĩnh, huyện Khánh Sơn thực hiện mục tiêu Nghị quyết 55/2022/QH15 về thí điểm cơ chế, chính sách đặc thù phát triển tỉnh Khánh Hòa</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Sau khi thực hiện chính quyền địa phương 02 cấp, không còn cấp huyện, ngân sách cấp huyện và các đơn vị hành chính cấp huyện là đối tượng áp dụng; huyện Khánh Vĩnh, huyện Khánh Sơn đã được sắp xếp thành các đơn vị hành chính cấp xã. Do đó, Nghị quyết không còn phù hợp với mô hình tổ chức ngân sách hiện nay, cần bãi bỏ để bảo đảm tính thống nhất, đồng bộ trong điều hành ngân sách địa phương.</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10.</w:t>
            </w:r>
          </w:p>
        </w:tc>
        <w:tc>
          <w:tcPr>
            <w:tcW w:w="1826" w:type="dxa"/>
            <w:vAlign w:val="center"/>
          </w:tcPr>
          <w:p>
            <w:pPr>
              <w:jc w:val="both"/>
              <w:rPr>
                <w:bCs/>
                <w:iCs/>
                <w:sz w:val="26"/>
                <w:szCs w:val="26"/>
              </w:rPr>
            </w:pPr>
            <w:r>
              <w:rPr>
                <w:bCs/>
                <w:iCs/>
                <w:sz w:val="26"/>
                <w:szCs w:val="26"/>
              </w:rPr>
              <w:t>Nghị quyết số 18/2023/NQ-HĐND ngày 07/12/2023 của HĐND tỉnh Khánh Hòa quy định cơ chế lồng ghép nguồn vốn giữa các chương trình, dự án không thuộc Chương trình mục tiêu quốc gia trên địa bàn tỉnh Khánh Hòa để thực hiện các Chương trình mục tiêu quốc gia.</w:t>
            </w:r>
          </w:p>
        </w:tc>
        <w:tc>
          <w:tcPr>
            <w:tcW w:w="2143" w:type="dxa"/>
            <w:vAlign w:val="center"/>
          </w:tcPr>
          <w:p>
            <w:pPr>
              <w:jc w:val="both"/>
              <w:rPr>
                <w:bCs/>
                <w:iCs/>
                <w:sz w:val="26"/>
                <w:szCs w:val="26"/>
              </w:rPr>
            </w:pPr>
            <w:r>
              <w:rPr>
                <w:bCs/>
                <w:iCs/>
                <w:sz w:val="26"/>
                <w:szCs w:val="26"/>
              </w:rPr>
              <w:t>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Sau khi thực hiện sắp xếp đơn vị hành chính, tổ chức chính quyền địa phương 02 cấp và Luật Ngân sách nhà nước năm 2025 có hiệu lực từ năm ngân sách 2026, mô hình tổ chức ngân sách, đối tượng tổ chức thực hiện và phạm vi áp dụng của Nghị quyết đã thay đổi. Một số nội dung của Nghị quyết còn gắn với địa bàn cấp huyện, không còn phù hợp với mô hình hiện nay. Do đó, cần bãi bỏ Nghị quyết số 18/2023/NQ-HĐND để bảo đảm tính thống nhất, đồng bộ của hệ thống văn bản quy phạm pháp luật; trường hợp cần thiết sẽ tham mưu ban hành cơ chế mới phù hợp với quy định của Trung ương và điều kiện thực tiễn của tỉnh sau sắp xếp.</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11.</w:t>
            </w:r>
          </w:p>
        </w:tc>
        <w:tc>
          <w:tcPr>
            <w:tcW w:w="1826" w:type="dxa"/>
            <w:vAlign w:val="center"/>
          </w:tcPr>
          <w:p>
            <w:pPr>
              <w:jc w:val="both"/>
              <w:rPr>
                <w:bCs/>
                <w:iCs/>
                <w:sz w:val="26"/>
                <w:szCs w:val="26"/>
              </w:rPr>
            </w:pPr>
            <w:r>
              <w:rPr>
                <w:bCs/>
                <w:iCs/>
                <w:sz w:val="26"/>
                <w:szCs w:val="26"/>
              </w:rPr>
              <w:t>Nghị quyết số 17/2024/NQ-HĐND ngày 30/09/2024 của HĐND Tỉnh Ninh Thuận Quy định thẩm quyền quyết định việc mua sắm tài sản, vật tiêu hao, hàng hóa, dịch vụ và quản lý tài sản công trên địa bàn tỉnh Ninh Thuận</w:t>
            </w:r>
          </w:p>
        </w:tc>
        <w:tc>
          <w:tcPr>
            <w:tcW w:w="2143" w:type="dxa"/>
            <w:vAlign w:val="center"/>
          </w:tcPr>
          <w:p>
            <w:pPr>
              <w:jc w:val="both"/>
              <w:rPr>
                <w:bCs/>
                <w:iCs/>
                <w:sz w:val="26"/>
                <w:szCs w:val="26"/>
              </w:rPr>
            </w:pPr>
            <w:r>
              <w:rPr>
                <w:bCs/>
                <w:iCs/>
                <w:sz w:val="26"/>
                <w:szCs w:val="26"/>
              </w:rPr>
              <w:t xml:space="preserve">- Luật Ban hành văn bản quy phạm pháp luật số 64/2025/QH15 ngày 19/02/2025 </w:t>
              <w:br/>
              <w:t xml:space="preserve"> - Nghị quyết số 202/2025/QH15 của Quốc Hội ngày 12 tháng 06 năm 2025 về sắp xếp đơn vị hành chính cấp tỉnh</w:t>
            </w:r>
          </w:p>
        </w:tc>
        <w:tc>
          <w:tcPr>
            <w:tcW w:w="3077" w:type="dxa"/>
            <w:vAlign w:val="center"/>
          </w:tcPr>
          <w:p>
            <w:pPr>
              <w:jc w:val="both"/>
              <w:rPr>
                <w:bCs/>
                <w:iCs/>
                <w:sz w:val="26"/>
                <w:szCs w:val="26"/>
              </w:rPr>
            </w:pPr>
            <w:r>
              <w:rPr>
                <w:bCs/>
                <w:iCs/>
                <w:sz w:val="26"/>
                <w:szCs w:val="26"/>
              </w:rPr>
              <w:t>- Quyết định số 43/2025/QĐ-CTUBND ngày 31/12/2025 về việc phân cấp thẩm quyền quyết định trong quản lý, sử dụng tài sản công thuộc phạm vi quản lý của tỉnh Khánh Hòa để áp dụng chung cho tỉnh Khánh Hòa</w:t>
              <w:br/>
              <w:t>- Quyết định số 18/2026/QĐ-CTUBND ngày 03/3/2026 về việc phân cấp thẩm quyền quyết định xác lập quyền sở hữu toàn dân về tài sản và phê duyệt phương án xử lý tài sản được xác lập quyền sở hữu toàn dân thuộc phạm vi quản lý của tỉnh Khánh Hòa</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12.</w:t>
            </w:r>
          </w:p>
        </w:tc>
        <w:tc>
          <w:tcPr>
            <w:tcW w:w="1826" w:type="dxa"/>
            <w:vAlign w:val="center"/>
          </w:tcPr>
          <w:p>
            <w:pPr>
              <w:jc w:val="both"/>
              <w:rPr>
                <w:bCs/>
                <w:iCs/>
                <w:sz w:val="26"/>
                <w:szCs w:val="26"/>
              </w:rPr>
            </w:pPr>
            <w:r>
              <w:rPr>
                <w:bCs/>
                <w:iCs/>
                <w:sz w:val="26"/>
                <w:szCs w:val="26"/>
              </w:rPr>
              <w:t>Quyết định số số 03/2019/QĐ-UBND ngày 29/01/2019 của UBND tỉnh Khánh Hòa quy định về mức rút dự toán chi bổ sung từ ngân sách cấp tỉnh cho ngân sách các huyện, thị xã, thành phố</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Sau khi thực hiện mô hình chính quyền địa phương 02 cấp, không còn ngân sách cấp huyện và UBND cấp huyện là đối tượng áp dụng của Quyết định. Do đó, văn bản không còn phù hợp với mô hình tổ chức ngân sách hiện nay, cần bãi bỏ để bảo đảm tính thống nhất, đồng bộ trong điều hành ngân sách địa phương.</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13.</w:t>
            </w:r>
          </w:p>
        </w:tc>
        <w:tc>
          <w:tcPr>
            <w:tcW w:w="1826" w:type="dxa"/>
            <w:vAlign w:val="center"/>
          </w:tcPr>
          <w:p>
            <w:pPr>
              <w:jc w:val="both"/>
              <w:rPr>
                <w:bCs/>
                <w:iCs/>
                <w:sz w:val="26"/>
                <w:szCs w:val="26"/>
              </w:rPr>
            </w:pPr>
            <w:r>
              <w:rPr>
                <w:bCs/>
                <w:iCs/>
                <w:sz w:val="26"/>
                <w:szCs w:val="26"/>
              </w:rPr>
              <w:t>Quyết định số 19/2020/QĐ-UBND ngày 14/09/2020 của UBND tỉnh Khánh Hòa Về việc quy định chi tiết các nội dung chi và mức chi cho hoạt động thẩm định dự thảo bảng giá đất của Hội đồng thẩm định bảng giá đất, phương án giá đất của Hội đồng thẩm định giá đất và Tổ giúp  việc của các Hội đồng</w:t>
            </w:r>
          </w:p>
        </w:tc>
        <w:tc>
          <w:tcPr>
            <w:tcW w:w="2143" w:type="dxa"/>
            <w:vAlign w:val="center"/>
          </w:tcPr>
          <w:p>
            <w:pPr>
              <w:jc w:val="both"/>
              <w:rPr>
                <w:bCs/>
                <w:iCs/>
                <w:sz w:val="26"/>
                <w:szCs w:val="26"/>
              </w:rPr>
            </w:pPr>
            <w:r>
              <w:rPr>
                <w:bCs/>
                <w:iCs/>
                <w:sz w:val="26"/>
                <w:szCs w:val="26"/>
              </w:rPr>
              <w:t>- Căn cứ Luật Đất đai 2024;</w:t>
              <w:br/>
              <w:t>- Nghị định số 71/2024/NĐ-CP ngày 27/6/2024 quy định về giá đất; Nghị định 151/2025/NĐ-CP ngày 12/6/2025 quy định về phân định thẩm quyền của chính quyền địa phương 02 cấp, phân quyền, phân cấp trong lĩnh vực đất đai</w:t>
            </w:r>
          </w:p>
        </w:tc>
        <w:tc>
          <w:tcPr>
            <w:tcW w:w="3077" w:type="dxa"/>
            <w:vAlign w:val="center"/>
          </w:tcPr>
          <w:p>
            <w:pPr>
              <w:jc w:val="both"/>
              <w:rPr>
                <w:bCs/>
                <w:iCs/>
                <w:sz w:val="26"/>
                <w:szCs w:val="26"/>
              </w:rPr>
            </w:pPr>
            <w:r>
              <w:rPr>
                <w:bCs/>
                <w:iCs/>
                <w:sz w:val="26"/>
                <w:szCs w:val="26"/>
              </w:rPr>
              <w:t xml:space="preserve">Các căn cứ quy định (Luật Đất đai 2013, Nghị định số 44/2014/NĐ-CP ngày 15/5/2014 của Chính phủ) không còn hiệu lực và quy định hiện hành (Luật Đất đai 2024 và Nghị định liên quan) không quy định phải ban hành văn bản. </w:t>
              <w:br/>
              <w:t>'- Đồng thời, với tình hình thực tế hiện nay, mức phí này không còn phù hợp, nhiều đơn vị tư vấn từ chối không tham gia vì cho rằng chi phí thực hiện quá thấp, không đủ bù đắp các chi phí hoạt động của đơn vị. Vì vậy, Quyết định số 19/2020/QĐ-UBND ngày 14/9/2020 của Ủy ban nhân dân tỉnh Khánh Hòa với mức phí thuê đơn vị tư vấn không còn phù hợp để các đơn vị tư vấn chi trả các khoản chi phí hoạt động (thuê nhân công, phí đi lại, khấu hao máy móc, thuế, …)</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tc>
          <w:tcPr>
            <w:tcW w:w="959" w:type="dxa"/>
            <w:vAlign w:val="center"/>
          </w:tcPr>
          <w:p>
            <w:pPr>
              <w:jc w:val="center"/>
              <w:rPr>
                <w:bCs/>
                <w:iCs/>
                <w:sz w:val="26"/>
                <w:szCs w:val="26"/>
              </w:rPr>
            </w:pPr>
            <w:r>
              <w:rPr>
                <w:bCs/>
                <w:iCs/>
                <w:sz w:val="26"/>
                <w:szCs w:val="26"/>
              </w:rPr>
              <w:t>14.</w:t>
            </w:r>
          </w:p>
        </w:tc>
        <w:tc>
          <w:tcPr>
            <w:tcW w:w="1826" w:type="dxa"/>
            <w:vAlign w:val="center"/>
          </w:tcPr>
          <w:p>
            <w:pPr>
              <w:jc w:val="both"/>
              <w:rPr>
                <w:bCs/>
                <w:iCs/>
                <w:sz w:val="26"/>
                <w:szCs w:val="26"/>
              </w:rPr>
            </w:pPr>
            <w:r>
              <w:rPr>
                <w:bCs/>
                <w:iCs/>
                <w:sz w:val="26"/>
                <w:szCs w:val="26"/>
              </w:rPr>
              <w:t>Quyết định số 20/2023/QĐ-UBND ngày 04/10/2023 của UBND tỉnh Khánh Hòa Về ban hành danh mục loại dự án được áp dụng cơ chế đặc thù thuộc các chương trình mục tiêu quốc gia trên địa bàn tỉnh.</w:t>
            </w:r>
          </w:p>
        </w:tc>
        <w:tc>
          <w:tcPr>
            <w:tcW w:w="2143"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Ngân sách nhà nước năm 2025</w:t>
            </w:r>
          </w:p>
        </w:tc>
        <w:tc>
          <w:tcPr>
            <w:tcW w:w="3077" w:type="dxa"/>
            <w:vAlign w:val="center"/>
          </w:tcPr>
          <w:p>
            <w:pPr>
              <w:jc w:val="both"/>
              <w:rPr>
                <w:bCs/>
                <w:iCs/>
                <w:sz w:val="26"/>
                <w:szCs w:val="26"/>
              </w:rPr>
            </w:pPr>
            <w:r>
              <w:rPr>
                <w:bCs/>
                <w:iCs/>
                <w:sz w:val="26"/>
                <w:szCs w:val="26"/>
              </w:rPr>
              <w:t>Sau khi thực hiện sắp xếp đơn vị hành chính, tổ chức chính quyền địa phương 02 cấp và Luật Ngân sách nhà nước năm 2025 có hiệu lực từ năm ngân sách 2026, mô hình tổ chức thực hiện, đối tượng quản lý và nhu cầu triển khai các Chương trình mục tiêu quốc gia đã thay đổi; trong khi Quyết định còn giao trách nhiệm cho UBND các huyện, thị xã, thành phố. Do đó, Quyết định số 20/2023/QĐ-UBND không còn phù hợp, cần bãi bỏ để bảo đảm tính thống nhất, đồng bộ của hệ thống văn bản quy phạm pháp luật; trường hợp cần thiết sẽ tham mưu ban hành văn bản mới phù hợp với quy định của Trung ương và điều kiện thực tiễn của tỉnh sau sắp xếp.</w:t>
            </w:r>
          </w:p>
        </w:tc>
        <w:tc>
          <w:tcPr>
            <w:tcW w:w="1980" w:type="dxa"/>
            <w:vAlign w:val="center"/>
          </w:tcPr>
          <w:p>
            <w:pPr>
              <w:jc w:val="both"/>
              <w:rPr>
                <w:bCs/>
                <w:iCs/>
                <w:sz w:val="26"/>
                <w:szCs w:val="26"/>
              </w:rPr>
            </w:pPr>
            <w:r>
              <w:rPr>
                <w:bCs/>
                <w:iCs/>
                <w:sz w:val="26"/>
                <w:szCs w:val="26"/>
              </w:rPr>
              <w:t>Dự kiến năm 2026</w:t>
            </w:r>
          </w:p>
        </w:tc>
        <w:tc>
          <w:tcPr>
            <w:tcW w:w="2610" w:type="dxa"/>
            <w:vAlign w:val="center"/>
          </w:tcPr>
          <w:p>
            <w:pPr>
              <w:jc w:val="both"/>
              <w:rPr>
                <w:bCs/>
                <w:iCs/>
                <w:sz w:val="26"/>
                <w:szCs w:val="26"/>
              </w:rPr>
            </w:pPr>
            <w:r>
              <w:rPr>
                <w:bCs/>
                <w:iCs/>
                <w:sz w:val="26"/>
                <w:szCs w:val="26"/>
              </w:rPr>
              <w:t>Tiêu chí 2.3</w:t>
            </w:r>
          </w:p>
        </w:tc>
        <w:tc>
          <w:tcPr>
            <w:tcW w:w="1980" w:type="dxa"/>
            <w:vAlign w:val="center"/>
          </w:tcPr>
          <w:p>
            <w:pPr>
              <w:jc w:val="both"/>
              <w:rPr>
                <w:bCs/>
                <w:iCs/>
                <w:sz w:val="26"/>
                <w:szCs w:val="26"/>
              </w:rPr>
            </w:pPr>
            <w:r>
              <w:rPr>
                <w:bCs/>
                <w:iCs/>
                <w:sz w:val="26"/>
                <w:szCs w:val="26"/>
              </w:rPr>
              <w:t xml:space="preserve"> </w:t>
            </w:r>
          </w:p>
        </w:tc>
      </w:tr>
      <w:tr w:rsidR="00BE03DE" w:rsidRPr="007E433C" w14:paraId="677E2D2F" w14:textId="77777777" w:rsidTr="00BE03DE">
        <w:tc>
          <w:tcPr>
            <w:tcW w:w="14575" w:type="dxa"/>
            <w:gridSpan w:val="7"/>
            <w:shd w:val="clear" w:color="auto" w:fill="F7CAAC" w:themeFill="accent2" w:themeFillTint="66"/>
            <w:vAlign w:val="center"/>
          </w:tcPr>
          <w:p w14:paraId="411A3BDF" w14:textId="77777777" w:rsidR="00BE03DE" w:rsidRPr="007E433C" w:rsidRDefault="00BE03DE" w:rsidP="006A3393">
            <w:pPr>
              <w:spacing w:before="120" w:after="120"/>
              <w:jc w:val="center"/>
              <w:rPr>
                <w:bCs/>
                <w:iCs/>
                <w:sz w:val="24"/>
              </w:rPr>
            </w:pPr>
            <w:r>
              <w:rPr>
                <w:b/>
                <w:sz w:val="24"/>
              </w:rPr>
              <w:t>Tổng số VB đề xuất xử lý: 14 văn bản</w:t>
            </w:r>
          </w:p>
        </w:tc>
      </w:tr>
    </w:tbl>
    <w:p w14:paraId="4B99056E" w14:textId="77777777" w:rsidR="00176C78" w:rsidRDefault="00176C78" w:rsidP="00865F69">
      <w:pPr>
        <w:shd w:val="clear" w:color="auto" w:fill="FFFFFF"/>
        <w:spacing w:before="120" w:after="120" w:line="234" w:lineRule="atLeast"/>
        <w:jc w:val="both"/>
        <w:rPr>
          <w:rFonts w:ascii="Arial" w:hAnsi="Arial" w:cs="Arial"/>
          <w:sz w:val="20"/>
          <w:szCs w:val="20"/>
        </w:rPr>
      </w:pPr>
    </w:p>
    <w:p w14:paraId="220CAF32" w14:textId="77777777" w:rsidR="00176C78" w:rsidRDefault="00176C78" w:rsidP="00661F93">
      <w:pPr>
        <w:shd w:val="clear" w:color="auto" w:fill="FFFFFF"/>
        <w:spacing w:before="120" w:after="120" w:line="360" w:lineRule="exact"/>
        <w:jc w:val="both"/>
        <w:rPr>
          <w:b/>
          <w:bCs/>
          <w:szCs w:val="28"/>
        </w:rPr>
      </w:pPr>
      <w:r w:rsidRPr="005756D3">
        <w:rPr>
          <w:b/>
          <w:bCs/>
          <w:szCs w:val="28"/>
        </w:rPr>
        <w:t>CÁC THÔNG TIN ĐIỀN TRONG PHỤ LỤC:</w:t>
      </w:r>
    </w:p>
    <w:p w14:paraId="1BAE13A6" w14:textId="77777777" w:rsidR="00BA08C0" w:rsidRPr="00BA08C0" w:rsidRDefault="00BA08C0" w:rsidP="00BA08C0">
      <w:pPr>
        <w:shd w:val="clear" w:color="auto" w:fill="FFFFFF"/>
        <w:spacing w:before="120" w:after="120" w:line="360" w:lineRule="exact"/>
        <w:jc w:val="both"/>
        <w:rPr>
          <w:bCs/>
          <w:sz w:val="26"/>
          <w:szCs w:val="26"/>
        </w:rPr>
      </w:pPr>
      <w:r w:rsidRPr="00BA08C0">
        <w:rPr>
          <w:b/>
          <w:bCs/>
          <w:i/>
          <w:sz w:val="26"/>
          <w:szCs w:val="26"/>
        </w:rPr>
        <w:t>- Cơ quan rà soát:</w:t>
      </w:r>
      <w:r w:rsidRPr="00BA08C0">
        <w:rPr>
          <w:bCs/>
          <w:sz w:val="26"/>
          <w:szCs w:val="26"/>
        </w:rPr>
        <w:t xml:space="preserve"> Điền tên</w:t>
      </w:r>
      <w:r w:rsidRPr="00BA08C0">
        <w:rPr>
          <w:bCs/>
          <w:sz w:val="26"/>
          <w:szCs w:val="26"/>
          <w:lang w:val="vi-VN"/>
        </w:rPr>
        <w:t xml:space="preserve"> của</w:t>
      </w:r>
      <w:r w:rsidRPr="00BA08C0">
        <w:rPr>
          <w:bCs/>
          <w:sz w:val="26"/>
          <w:szCs w:val="26"/>
        </w:rPr>
        <w:t xml:space="preserve"> cơ quan rà soát</w:t>
      </w:r>
      <w:r w:rsidRPr="00BA08C0">
        <w:rPr>
          <w:bCs/>
          <w:sz w:val="26"/>
          <w:szCs w:val="26"/>
          <w:lang w:val="vi-VN"/>
        </w:rPr>
        <w:t>.</w:t>
      </w:r>
      <w:r w:rsidRPr="00BA08C0">
        <w:rPr>
          <w:bCs/>
          <w:sz w:val="26"/>
          <w:szCs w:val="26"/>
        </w:rPr>
        <w:t xml:space="preserve"> (Ví dụ: UBND thành phố Hà Nội, UBND tỉnh Quảng Ninh).</w:t>
      </w:r>
    </w:p>
    <w:p w14:paraId="00348294" w14:textId="77777777" w:rsidR="00BA08C0" w:rsidRPr="00BA08C0" w:rsidRDefault="00BA08C0" w:rsidP="00BA08C0">
      <w:pPr>
        <w:shd w:val="clear" w:color="auto" w:fill="FFFFFF"/>
        <w:spacing w:before="120" w:after="120" w:line="360" w:lineRule="exact"/>
        <w:jc w:val="both"/>
        <w:rPr>
          <w:bCs/>
          <w:sz w:val="26"/>
          <w:szCs w:val="26"/>
        </w:rPr>
      </w:pPr>
      <w:r w:rsidRPr="00BA08C0">
        <w:rPr>
          <w:b/>
          <w:bCs/>
          <w:i/>
          <w:iCs/>
          <w:sz w:val="26"/>
          <w:szCs w:val="26"/>
        </w:rPr>
        <w:t>- Cột (2):</w:t>
      </w:r>
      <w:r w:rsidRPr="00BA08C0">
        <w:rPr>
          <w:bCs/>
          <w:sz w:val="26"/>
          <w:szCs w:val="26"/>
        </w:rPr>
        <w:t xml:space="preserve"> </w:t>
      </w:r>
    </w:p>
    <w:p w14:paraId="79820EE0" w14:textId="77777777" w:rsidR="00BA08C0" w:rsidRPr="00BA08C0" w:rsidRDefault="00BA08C0" w:rsidP="00BA08C0">
      <w:pPr>
        <w:shd w:val="clear" w:color="auto" w:fill="FFFFFF"/>
        <w:spacing w:before="120" w:after="120" w:line="360" w:lineRule="exact"/>
        <w:jc w:val="both"/>
        <w:rPr>
          <w:bCs/>
          <w:sz w:val="26"/>
          <w:szCs w:val="26"/>
          <w:lang w:val="vi-VN"/>
        </w:rPr>
      </w:pPr>
      <w:r w:rsidRPr="00BA08C0">
        <w:rPr>
          <w:bCs/>
          <w:sz w:val="26"/>
          <w:szCs w:val="26"/>
        </w:rPr>
        <w:lastRenderedPageBreak/>
        <w:t>+ Điền tên văn bản được rà soát (</w:t>
      </w:r>
      <w:r w:rsidRPr="00BA08C0">
        <w:rPr>
          <w:bCs/>
          <w:sz w:val="26"/>
          <w:szCs w:val="26"/>
          <w:lang w:val="vi-VN"/>
        </w:rPr>
        <w:t xml:space="preserve">Ghi rõ </w:t>
      </w:r>
      <w:r w:rsidRPr="00BA08C0">
        <w:rPr>
          <w:bCs/>
          <w:sz w:val="26"/>
          <w:szCs w:val="26"/>
        </w:rPr>
        <w:t>tên loại; số, ký hiệu; ngày, tháng, năm ban hành; tên cơ quan ban hành; trích yếu văn bản)</w:t>
      </w:r>
      <w:r w:rsidRPr="00BA08C0">
        <w:rPr>
          <w:bCs/>
          <w:sz w:val="26"/>
          <w:szCs w:val="26"/>
          <w:lang w:val="vi-VN"/>
        </w:rPr>
        <w:t xml:space="preserve">. </w:t>
      </w:r>
      <w:r w:rsidRPr="00794AFE">
        <w:rPr>
          <w:bCs/>
          <w:sz w:val="26"/>
          <w:szCs w:val="26"/>
          <w:lang w:val="vi-VN"/>
        </w:rPr>
        <w:t>Trường hợp văn bản được rà soát đã được sửa đổi, bổ sung, bãi bỏ một phần thì ngay sau trích yếu văn bản ghi: “(đã được sửa đổi, bổ sung)”.</w:t>
      </w:r>
    </w:p>
    <w:p w14:paraId="0D81A08A" w14:textId="6BCA692D"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Ví dụ: Quyết định số 33/2025/QĐ-UBND ngày 21/4/2025 của UBND thành phố Hà Nội về việc ban hành khung giá dịch vụ quản lý vận hành nhà chung cư trên địa bàn thành phố Hà Nội (đã được sửa đổi, bổ sung).</w:t>
      </w:r>
    </w:p>
    <w:p w14:paraId="40F8850E"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Các VBQPPL trong cùng 01 lĩnh vực được sắp xếp theo tiêu chí: (i) </w:t>
      </w:r>
      <w:r w:rsidRPr="00794AFE">
        <w:rPr>
          <w:bCs/>
          <w:iCs/>
          <w:sz w:val="26"/>
          <w:szCs w:val="26"/>
          <w:lang w:val="vi-VN"/>
        </w:rPr>
        <w:t xml:space="preserve">Văn bản có hiệu lực pháp lý cao hơn đến văn bản có hiệu lực pháp lý thấp hơn; (ii) </w:t>
      </w:r>
      <w:r w:rsidRPr="00794AFE">
        <w:rPr>
          <w:bCs/>
          <w:sz w:val="26"/>
          <w:szCs w:val="26"/>
          <w:lang w:val="vi-VN"/>
        </w:rPr>
        <w:t>Thời gian ban hành văn bản (cùng hình</w:t>
      </w:r>
      <w:r w:rsidRPr="00BA08C0">
        <w:rPr>
          <w:bCs/>
          <w:sz w:val="26"/>
          <w:szCs w:val="26"/>
          <w:lang w:val="vi-VN"/>
        </w:rPr>
        <w:t xml:space="preserve"> thức</w:t>
      </w:r>
      <w:r w:rsidRPr="00794AFE">
        <w:rPr>
          <w:bCs/>
          <w:sz w:val="26"/>
          <w:szCs w:val="26"/>
          <w:lang w:val="vi-VN"/>
        </w:rPr>
        <w:t xml:space="preserve"> văn bản) từ văn bản được ban hành trước đến văn bản được ban hành sau.</w:t>
      </w:r>
    </w:p>
    <w:p w14:paraId="19154966"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Cột (3):</w:t>
      </w:r>
      <w:r w:rsidRPr="00794AFE">
        <w:rPr>
          <w:bCs/>
          <w:sz w:val="26"/>
          <w:szCs w:val="26"/>
          <w:lang w:val="vi-VN"/>
        </w:rPr>
        <w:t xml:space="preserve"> Điền căn cứ rà soát văn bản theo hướng dẫn tại Mục VI.3 Tài liệu hướng dẫn, trong đó cần ghi rõ thông tin về tên văn bản, tài liệu là căn cứ rà soát (nếu có).</w:t>
      </w:r>
    </w:p>
    <w:p w14:paraId="60AD8354" w14:textId="77777777" w:rsidR="00BA08C0" w:rsidRPr="00794AFE" w:rsidRDefault="00BA08C0" w:rsidP="00BA08C0">
      <w:pPr>
        <w:shd w:val="clear" w:color="auto" w:fill="FFFFFF"/>
        <w:spacing w:before="120" w:after="120" w:line="360" w:lineRule="exact"/>
        <w:jc w:val="both"/>
        <w:rPr>
          <w:b/>
          <w:bCs/>
          <w:i/>
          <w:iCs/>
          <w:sz w:val="26"/>
          <w:szCs w:val="26"/>
          <w:lang w:val="vi-VN"/>
        </w:rPr>
      </w:pPr>
      <w:r w:rsidRPr="00794AFE">
        <w:rPr>
          <w:b/>
          <w:bCs/>
          <w:i/>
          <w:iCs/>
          <w:sz w:val="26"/>
          <w:szCs w:val="26"/>
          <w:lang w:val="vi-VN"/>
        </w:rPr>
        <w:t xml:space="preserve">- Cột (4): </w:t>
      </w:r>
      <w:r w:rsidRPr="00794AFE">
        <w:rPr>
          <w:bCs/>
          <w:sz w:val="26"/>
          <w:szCs w:val="26"/>
          <w:lang w:val="vi-VN"/>
        </w:rPr>
        <w:t>Điền nội dung phân tích lý do đề xuất bãi bỏ toàn bộ văn bản</w:t>
      </w:r>
      <w:r w:rsidRPr="00BA08C0">
        <w:rPr>
          <w:bCs/>
          <w:sz w:val="26"/>
          <w:szCs w:val="26"/>
          <w:lang w:val="vi-VN"/>
        </w:rPr>
        <w:t xml:space="preserve">. </w:t>
      </w:r>
    </w:p>
    <w:p w14:paraId="7B940CF9"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(5): </w:t>
      </w:r>
      <w:r w:rsidRPr="00794AFE">
        <w:rPr>
          <w:bCs/>
          <w:sz w:val="26"/>
          <w:szCs w:val="26"/>
          <w:lang w:val="vi-VN"/>
        </w:rPr>
        <w:t>Điền lộ trình xử lý.</w:t>
      </w:r>
    </w:p>
    <w:p w14:paraId="79C29607"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(6): </w:t>
      </w:r>
      <w:r w:rsidRPr="00794AFE">
        <w:rPr>
          <w:bCs/>
          <w:sz w:val="26"/>
          <w:szCs w:val="26"/>
          <w:lang w:val="vi-VN"/>
        </w:rPr>
        <w:t>Điền tiêu chí rà soát tương ứng với văn bản được rà soát cần bãi bỏ toàn bộ</w:t>
      </w:r>
      <w:r w:rsidRPr="00BA08C0">
        <w:rPr>
          <w:bCs/>
          <w:sz w:val="26"/>
          <w:szCs w:val="26"/>
          <w:lang w:val="vi-VN"/>
        </w:rPr>
        <w:t>.</w:t>
      </w:r>
      <w:r w:rsidRPr="00794AFE">
        <w:rPr>
          <w:bCs/>
          <w:sz w:val="26"/>
          <w:szCs w:val="26"/>
          <w:lang w:val="vi-VN"/>
        </w:rPr>
        <w:t xml:space="preserve"> (Ví dụ: </w:t>
      </w:r>
      <w:r w:rsidRPr="00BA08C0">
        <w:rPr>
          <w:bCs/>
          <w:sz w:val="26"/>
          <w:szCs w:val="26"/>
          <w:lang w:val="nl-NL"/>
        </w:rPr>
        <w:t>Tiêu chí 2).</w:t>
      </w:r>
    </w:p>
    <w:p w14:paraId="39028833"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(7): </w:t>
      </w:r>
      <w:r w:rsidRPr="00794AFE">
        <w:rPr>
          <w:bCs/>
          <w:sz w:val="26"/>
          <w:szCs w:val="26"/>
          <w:lang w:val="vi-VN"/>
        </w:rPr>
        <w:t>Trường hợp văn bản do HĐND, UBND tỉnh trước khi sắp xếp ban hành (không trùng tên với tỉnh sau khi sắp xếp) thì ghi tên các tỉnh đó. (Ví dụ: Thái Bình, Hải Dương).</w:t>
      </w:r>
    </w:p>
    <w:p w14:paraId="312FD788"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w:t>
      </w:r>
      <w:r w:rsidRPr="00794AFE">
        <w:rPr>
          <w:b/>
          <w:bCs/>
          <w:sz w:val="26"/>
          <w:szCs w:val="26"/>
          <w:lang w:val="vi-VN"/>
        </w:rPr>
        <w:t>Lưu ý:</w:t>
      </w:r>
      <w:r w:rsidRPr="00794AFE">
        <w:rPr>
          <w:bCs/>
          <w:sz w:val="26"/>
          <w:szCs w:val="26"/>
          <w:lang w:val="vi-VN"/>
        </w:rPr>
        <w:t xml:space="preserve"> </w:t>
      </w:r>
    </w:p>
    <w:p w14:paraId="136C4F6E"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+ 01 VBQPPL (gốc) chỉ xuất hiện 01 lần trong Danh mục (thuộc lĩnh vực của cơ quan có trách nhiệm chủ trì rà soát/tổng hợp kết quả rà soát).</w:t>
      </w:r>
    </w:p>
    <w:p w14:paraId="3D2FEC54"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Tổng số văn bản đề xuất xử lý: Tính theo số văn bản được rà soát tại cột (2). Không tính số liệu văn bản sửa đổi, bổ sung.</w:t>
      </w:r>
    </w:p>
    <w:p w14:paraId="728A2349"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Tên các lĩnh vực: Theo tên của cơ quan chuyên môn thuộc UBND cấp tỉnh (trừ VBQPPL do Văn phòng UBND rà soát) (Ví dụ: Lĩnh vực Tư pháp, Lĩnh vực Tài chính...). </w:t>
      </w:r>
    </w:p>
    <w:p w14:paraId="77E87CE3" w14:textId="1613D2A2" w:rsidR="009E1D4B" w:rsidRPr="00794AFE" w:rsidRDefault="00BA08C0" w:rsidP="009E1D4B">
      <w:pPr>
        <w:shd w:val="clear" w:color="auto" w:fill="FFFFFF"/>
        <w:spacing w:before="120" w:after="120" w:line="360" w:lineRule="exact"/>
        <w:jc w:val="both"/>
        <w:rPr>
          <w:bCs/>
          <w:sz w:val="26"/>
          <w:szCs w:val="26"/>
          <w:lang w:val="vi-VN"/>
        </w:rPr>
      </w:pPr>
      <w:r w:rsidRPr="00794AFE">
        <w:rPr>
          <w:bCs/>
          <w:sz w:val="26"/>
          <w:szCs w:val="26"/>
          <w:lang w:val="vi-VN"/>
        </w:rPr>
        <w:t>+ Lĩnh vực khác: Gồm các VBQPPL do Văn phòng UBND và các cơ quan không phải các cơ quan chuyên môn thuộc UBND cấp tỉnh thực hiện rà soát.</w:t>
      </w:r>
    </w:p>
    <w:p w14:paraId="1299C43A" w14:textId="77777777" w:rsidR="00A260A8" w:rsidRDefault="00A260A8" w:rsidP="00574042">
      <w:pPr>
        <w:spacing w:before="120" w:after="120" w:line="264" w:lineRule="auto"/>
        <w:jc w:val="both"/>
        <w:rPr>
          <w:bCs/>
          <w:sz w:val="26"/>
          <w:szCs w:val="26"/>
        </w:rPr>
      </w:pPr>
    </w:p>
    <w:sectPr w:rsidR="00A260A8" w:rsidSect="00741EBC">
      <w:headerReference w:type="default" r:id="rId11"/>
      <w:footerReference w:type="even" r:id="rId12"/>
      <w:footerReference w:type="default" r:id="rId13"/>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72BFF" w14:textId="77777777" w:rsidR="007059F5" w:rsidRDefault="007059F5">
      <w:r>
        <w:separator/>
      </w:r>
    </w:p>
  </w:endnote>
  <w:endnote w:type="continuationSeparator" w:id="0">
    <w:p w14:paraId="3FE658CC" w14:textId="77777777" w:rsidR="007059F5" w:rsidRDefault="00705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4D5D3"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0FB78278"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2D8B6"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2868F" w14:textId="77777777" w:rsidR="007059F5" w:rsidRDefault="007059F5">
      <w:r>
        <w:separator/>
      </w:r>
    </w:p>
  </w:footnote>
  <w:footnote w:type="continuationSeparator" w:id="0">
    <w:p w14:paraId="4822F5DB" w14:textId="77777777" w:rsidR="007059F5" w:rsidRDefault="007059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30CC7" w14:textId="5A67EF66" w:rsidR="009724E0" w:rsidRDefault="000A6D98" w:rsidP="009655AC">
    <w:pPr>
      <w:pStyle w:val="Header"/>
      <w:jc w:val="center"/>
    </w:pPr>
    <w:r>
      <w:fldChar w:fldCharType="begin"/>
    </w:r>
    <w:r>
      <w:instrText xml:space="preserve"> PAGE   \* MERGEFORMAT </w:instrText>
    </w:r>
    <w:r>
      <w:fldChar w:fldCharType="separate"/>
    </w:r>
    <w:r w:rsidR="005B4DA1">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
  </w:num>
  <w:num w:numId="3">
    <w:abstractNumId w:val="13"/>
  </w:num>
  <w:num w:numId="4">
    <w:abstractNumId w:val="20"/>
  </w:num>
  <w:num w:numId="5">
    <w:abstractNumId w:val="2"/>
  </w:num>
  <w:num w:numId="6">
    <w:abstractNumId w:val="18"/>
  </w:num>
  <w:num w:numId="7">
    <w:abstractNumId w:val="10"/>
  </w:num>
  <w:num w:numId="8">
    <w:abstractNumId w:val="27"/>
  </w:num>
  <w:num w:numId="9">
    <w:abstractNumId w:val="9"/>
  </w:num>
  <w:num w:numId="10">
    <w:abstractNumId w:val="38"/>
  </w:num>
  <w:num w:numId="11">
    <w:abstractNumId w:val="28"/>
  </w:num>
  <w:num w:numId="12">
    <w:abstractNumId w:val="7"/>
  </w:num>
  <w:num w:numId="13">
    <w:abstractNumId w:val="15"/>
  </w:num>
  <w:num w:numId="14">
    <w:abstractNumId w:val="37"/>
  </w:num>
  <w:num w:numId="15">
    <w:abstractNumId w:val="34"/>
  </w:num>
  <w:num w:numId="16">
    <w:abstractNumId w:val="32"/>
  </w:num>
  <w:num w:numId="17">
    <w:abstractNumId w:val="8"/>
  </w:num>
  <w:num w:numId="18">
    <w:abstractNumId w:val="14"/>
  </w:num>
  <w:num w:numId="19">
    <w:abstractNumId w:val="16"/>
  </w:num>
  <w:num w:numId="20">
    <w:abstractNumId w:val="29"/>
  </w:num>
  <w:num w:numId="21">
    <w:abstractNumId w:val="35"/>
  </w:num>
  <w:num w:numId="22">
    <w:abstractNumId w:val="23"/>
  </w:num>
  <w:num w:numId="23">
    <w:abstractNumId w:val="26"/>
  </w:num>
  <w:num w:numId="24">
    <w:abstractNumId w:val="25"/>
  </w:num>
  <w:num w:numId="25">
    <w:abstractNumId w:val="17"/>
  </w:num>
  <w:num w:numId="26">
    <w:abstractNumId w:val="40"/>
  </w:num>
  <w:num w:numId="27">
    <w:abstractNumId w:val="6"/>
  </w:num>
  <w:num w:numId="28">
    <w:abstractNumId w:val="31"/>
  </w:num>
  <w:num w:numId="29">
    <w:abstractNumId w:val="3"/>
  </w:num>
  <w:num w:numId="30">
    <w:abstractNumId w:val="11"/>
  </w:num>
  <w:num w:numId="31">
    <w:abstractNumId w:val="4"/>
  </w:num>
  <w:num w:numId="32">
    <w:abstractNumId w:val="5"/>
  </w:num>
  <w:num w:numId="33">
    <w:abstractNumId w:val="41"/>
  </w:num>
  <w:num w:numId="34">
    <w:abstractNumId w:val="30"/>
  </w:num>
  <w:num w:numId="35">
    <w:abstractNumId w:val="19"/>
  </w:num>
  <w:num w:numId="36">
    <w:abstractNumId w:val="24"/>
  </w:num>
  <w:num w:numId="37">
    <w:abstractNumId w:val="33"/>
  </w:num>
  <w:num w:numId="38">
    <w:abstractNumId w:val="36"/>
  </w:num>
  <w:num w:numId="39">
    <w:abstractNumId w:val="22"/>
  </w:num>
  <w:num w:numId="40">
    <w:abstractNumId w:val="0"/>
  </w:num>
  <w:num w:numId="41">
    <w:abstractNumId w:val="3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FF"/>
    <w:rsid w:val="00002DED"/>
    <w:rsid w:val="000106A9"/>
    <w:rsid w:val="00010C0C"/>
    <w:rsid w:val="0001775C"/>
    <w:rsid w:val="000243B7"/>
    <w:rsid w:val="00032670"/>
    <w:rsid w:val="00043E20"/>
    <w:rsid w:val="000573DE"/>
    <w:rsid w:val="00077BBD"/>
    <w:rsid w:val="00080C73"/>
    <w:rsid w:val="00082ACD"/>
    <w:rsid w:val="0008345B"/>
    <w:rsid w:val="00090B40"/>
    <w:rsid w:val="00091B0F"/>
    <w:rsid w:val="00092633"/>
    <w:rsid w:val="000A6D98"/>
    <w:rsid w:val="000B7682"/>
    <w:rsid w:val="000C0FE7"/>
    <w:rsid w:val="000D19A8"/>
    <w:rsid w:val="000D2DF9"/>
    <w:rsid w:val="000D6C07"/>
    <w:rsid w:val="000E10D4"/>
    <w:rsid w:val="000E49A2"/>
    <w:rsid w:val="000E5398"/>
    <w:rsid w:val="001023B4"/>
    <w:rsid w:val="001056E9"/>
    <w:rsid w:val="00114B96"/>
    <w:rsid w:val="00126557"/>
    <w:rsid w:val="001624CD"/>
    <w:rsid w:val="001636F1"/>
    <w:rsid w:val="00165720"/>
    <w:rsid w:val="0017631B"/>
    <w:rsid w:val="00176C78"/>
    <w:rsid w:val="001847B2"/>
    <w:rsid w:val="0018645B"/>
    <w:rsid w:val="001908C6"/>
    <w:rsid w:val="00195487"/>
    <w:rsid w:val="00197038"/>
    <w:rsid w:val="001B47B4"/>
    <w:rsid w:val="001B5890"/>
    <w:rsid w:val="001E533A"/>
    <w:rsid w:val="001E62FB"/>
    <w:rsid w:val="001F2B98"/>
    <w:rsid w:val="00201846"/>
    <w:rsid w:val="0021243C"/>
    <w:rsid w:val="0022263A"/>
    <w:rsid w:val="002324C2"/>
    <w:rsid w:val="00234876"/>
    <w:rsid w:val="00240328"/>
    <w:rsid w:val="002471DE"/>
    <w:rsid w:val="00247ECE"/>
    <w:rsid w:val="00254FDC"/>
    <w:rsid w:val="0026718F"/>
    <w:rsid w:val="00275558"/>
    <w:rsid w:val="00284977"/>
    <w:rsid w:val="0028539C"/>
    <w:rsid w:val="002875DF"/>
    <w:rsid w:val="00290A0C"/>
    <w:rsid w:val="0029723C"/>
    <w:rsid w:val="002A5526"/>
    <w:rsid w:val="002A689C"/>
    <w:rsid w:val="002B2E23"/>
    <w:rsid w:val="002B31C0"/>
    <w:rsid w:val="002C2B91"/>
    <w:rsid w:val="002C4253"/>
    <w:rsid w:val="002D2901"/>
    <w:rsid w:val="002E6937"/>
    <w:rsid w:val="002F03DE"/>
    <w:rsid w:val="00306DAD"/>
    <w:rsid w:val="00311765"/>
    <w:rsid w:val="003163FF"/>
    <w:rsid w:val="00317ECE"/>
    <w:rsid w:val="003318BF"/>
    <w:rsid w:val="00334B98"/>
    <w:rsid w:val="00337B38"/>
    <w:rsid w:val="00340EAF"/>
    <w:rsid w:val="0034467E"/>
    <w:rsid w:val="00345CD9"/>
    <w:rsid w:val="00350F98"/>
    <w:rsid w:val="00354431"/>
    <w:rsid w:val="0035475E"/>
    <w:rsid w:val="00354B35"/>
    <w:rsid w:val="00355385"/>
    <w:rsid w:val="0036350C"/>
    <w:rsid w:val="00365C98"/>
    <w:rsid w:val="00367DFE"/>
    <w:rsid w:val="00396563"/>
    <w:rsid w:val="003A1D44"/>
    <w:rsid w:val="003A2474"/>
    <w:rsid w:val="003B5C48"/>
    <w:rsid w:val="003B682C"/>
    <w:rsid w:val="003C160A"/>
    <w:rsid w:val="003C3CCF"/>
    <w:rsid w:val="003D5E13"/>
    <w:rsid w:val="003E2FBC"/>
    <w:rsid w:val="003F141E"/>
    <w:rsid w:val="003F457E"/>
    <w:rsid w:val="003F5F13"/>
    <w:rsid w:val="0040121A"/>
    <w:rsid w:val="00410DFF"/>
    <w:rsid w:val="00432B3F"/>
    <w:rsid w:val="00435C7E"/>
    <w:rsid w:val="00456162"/>
    <w:rsid w:val="004562C4"/>
    <w:rsid w:val="004749C7"/>
    <w:rsid w:val="00475B46"/>
    <w:rsid w:val="00481F8F"/>
    <w:rsid w:val="004902C1"/>
    <w:rsid w:val="004A181E"/>
    <w:rsid w:val="004B00D7"/>
    <w:rsid w:val="004B17E6"/>
    <w:rsid w:val="004C11C6"/>
    <w:rsid w:val="004C6A2F"/>
    <w:rsid w:val="004D30DD"/>
    <w:rsid w:val="004E018F"/>
    <w:rsid w:val="004E15E0"/>
    <w:rsid w:val="004F56CA"/>
    <w:rsid w:val="004F59D0"/>
    <w:rsid w:val="00503A86"/>
    <w:rsid w:val="00506C7A"/>
    <w:rsid w:val="00506CDB"/>
    <w:rsid w:val="0051413A"/>
    <w:rsid w:val="005141F6"/>
    <w:rsid w:val="0051617B"/>
    <w:rsid w:val="00521C7B"/>
    <w:rsid w:val="0052462A"/>
    <w:rsid w:val="00527297"/>
    <w:rsid w:val="005562D7"/>
    <w:rsid w:val="00556455"/>
    <w:rsid w:val="00563E5A"/>
    <w:rsid w:val="005654CC"/>
    <w:rsid w:val="00565CF6"/>
    <w:rsid w:val="00574042"/>
    <w:rsid w:val="00586707"/>
    <w:rsid w:val="005916F5"/>
    <w:rsid w:val="005958D8"/>
    <w:rsid w:val="005A0D12"/>
    <w:rsid w:val="005B4DA1"/>
    <w:rsid w:val="005C3232"/>
    <w:rsid w:val="005C3D70"/>
    <w:rsid w:val="005E1393"/>
    <w:rsid w:val="005E4C8F"/>
    <w:rsid w:val="005F0C64"/>
    <w:rsid w:val="00603023"/>
    <w:rsid w:val="00605452"/>
    <w:rsid w:val="00607012"/>
    <w:rsid w:val="00623563"/>
    <w:rsid w:val="006304A9"/>
    <w:rsid w:val="00647F89"/>
    <w:rsid w:val="00656767"/>
    <w:rsid w:val="00661F93"/>
    <w:rsid w:val="006664E8"/>
    <w:rsid w:val="006865C4"/>
    <w:rsid w:val="006879B8"/>
    <w:rsid w:val="006931C8"/>
    <w:rsid w:val="006964DA"/>
    <w:rsid w:val="006A57A2"/>
    <w:rsid w:val="006A7A69"/>
    <w:rsid w:val="006B09C3"/>
    <w:rsid w:val="006C69A5"/>
    <w:rsid w:val="006E1B2A"/>
    <w:rsid w:val="006F504A"/>
    <w:rsid w:val="006F563D"/>
    <w:rsid w:val="00700295"/>
    <w:rsid w:val="007059F5"/>
    <w:rsid w:val="00715B7B"/>
    <w:rsid w:val="00723A9B"/>
    <w:rsid w:val="007267E3"/>
    <w:rsid w:val="00727D62"/>
    <w:rsid w:val="00732BCD"/>
    <w:rsid w:val="00733C5C"/>
    <w:rsid w:val="00741EBC"/>
    <w:rsid w:val="00743989"/>
    <w:rsid w:val="00751A36"/>
    <w:rsid w:val="0075292C"/>
    <w:rsid w:val="00763733"/>
    <w:rsid w:val="00764A18"/>
    <w:rsid w:val="00772A69"/>
    <w:rsid w:val="00777100"/>
    <w:rsid w:val="00781320"/>
    <w:rsid w:val="00794AFE"/>
    <w:rsid w:val="00796487"/>
    <w:rsid w:val="00796EC8"/>
    <w:rsid w:val="007970CE"/>
    <w:rsid w:val="007978FA"/>
    <w:rsid w:val="007C578E"/>
    <w:rsid w:val="007D413C"/>
    <w:rsid w:val="007D5728"/>
    <w:rsid w:val="007E26CB"/>
    <w:rsid w:val="007E28E4"/>
    <w:rsid w:val="007E4A8F"/>
    <w:rsid w:val="007F05A6"/>
    <w:rsid w:val="007F1107"/>
    <w:rsid w:val="00803996"/>
    <w:rsid w:val="008141DF"/>
    <w:rsid w:val="00816C8C"/>
    <w:rsid w:val="00823714"/>
    <w:rsid w:val="00827005"/>
    <w:rsid w:val="008322C5"/>
    <w:rsid w:val="0083501F"/>
    <w:rsid w:val="00837482"/>
    <w:rsid w:val="00844C31"/>
    <w:rsid w:val="00845CC9"/>
    <w:rsid w:val="0085786E"/>
    <w:rsid w:val="008650E1"/>
    <w:rsid w:val="00865F69"/>
    <w:rsid w:val="00867E28"/>
    <w:rsid w:val="00870B1A"/>
    <w:rsid w:val="00873879"/>
    <w:rsid w:val="00876E6F"/>
    <w:rsid w:val="008825FB"/>
    <w:rsid w:val="00887322"/>
    <w:rsid w:val="008A76DC"/>
    <w:rsid w:val="008B59D8"/>
    <w:rsid w:val="008D02D6"/>
    <w:rsid w:val="008D2A73"/>
    <w:rsid w:val="008E097C"/>
    <w:rsid w:val="0090399E"/>
    <w:rsid w:val="00906CCC"/>
    <w:rsid w:val="00917142"/>
    <w:rsid w:val="009204AB"/>
    <w:rsid w:val="009400DC"/>
    <w:rsid w:val="00953B96"/>
    <w:rsid w:val="00964592"/>
    <w:rsid w:val="009655AC"/>
    <w:rsid w:val="00971124"/>
    <w:rsid w:val="009724E0"/>
    <w:rsid w:val="00996021"/>
    <w:rsid w:val="009A0055"/>
    <w:rsid w:val="009B5AA3"/>
    <w:rsid w:val="009C3FFD"/>
    <w:rsid w:val="009C5C89"/>
    <w:rsid w:val="009E1D4B"/>
    <w:rsid w:val="009F4216"/>
    <w:rsid w:val="009F6E87"/>
    <w:rsid w:val="00A019BC"/>
    <w:rsid w:val="00A026CE"/>
    <w:rsid w:val="00A06DC2"/>
    <w:rsid w:val="00A209AE"/>
    <w:rsid w:val="00A260A8"/>
    <w:rsid w:val="00A272F3"/>
    <w:rsid w:val="00A40898"/>
    <w:rsid w:val="00A4117A"/>
    <w:rsid w:val="00A468B4"/>
    <w:rsid w:val="00A57CEC"/>
    <w:rsid w:val="00A647FA"/>
    <w:rsid w:val="00A653FA"/>
    <w:rsid w:val="00A67C89"/>
    <w:rsid w:val="00AA2AA9"/>
    <w:rsid w:val="00AB2D76"/>
    <w:rsid w:val="00AB3A64"/>
    <w:rsid w:val="00AB7A4A"/>
    <w:rsid w:val="00AC02B0"/>
    <w:rsid w:val="00AC2FBB"/>
    <w:rsid w:val="00AC7036"/>
    <w:rsid w:val="00AD022D"/>
    <w:rsid w:val="00AD65F4"/>
    <w:rsid w:val="00AE4230"/>
    <w:rsid w:val="00AE4A09"/>
    <w:rsid w:val="00AE5301"/>
    <w:rsid w:val="00AF398A"/>
    <w:rsid w:val="00AF4860"/>
    <w:rsid w:val="00B00B7D"/>
    <w:rsid w:val="00B00D2F"/>
    <w:rsid w:val="00B334F2"/>
    <w:rsid w:val="00B46E13"/>
    <w:rsid w:val="00B50F78"/>
    <w:rsid w:val="00B51CFD"/>
    <w:rsid w:val="00B52ACC"/>
    <w:rsid w:val="00B603AF"/>
    <w:rsid w:val="00B614B9"/>
    <w:rsid w:val="00B64220"/>
    <w:rsid w:val="00B73792"/>
    <w:rsid w:val="00B7487A"/>
    <w:rsid w:val="00B82A7C"/>
    <w:rsid w:val="00B8793D"/>
    <w:rsid w:val="00B91650"/>
    <w:rsid w:val="00BA08C0"/>
    <w:rsid w:val="00BA25BB"/>
    <w:rsid w:val="00BC0B79"/>
    <w:rsid w:val="00BC2DBD"/>
    <w:rsid w:val="00BC3EE8"/>
    <w:rsid w:val="00BD478F"/>
    <w:rsid w:val="00BD55C3"/>
    <w:rsid w:val="00BE03DE"/>
    <w:rsid w:val="00BE2D9B"/>
    <w:rsid w:val="00C204A7"/>
    <w:rsid w:val="00C260F3"/>
    <w:rsid w:val="00C32DD6"/>
    <w:rsid w:val="00C41B03"/>
    <w:rsid w:val="00C61D01"/>
    <w:rsid w:val="00C64DD2"/>
    <w:rsid w:val="00C65201"/>
    <w:rsid w:val="00C66C3F"/>
    <w:rsid w:val="00C70080"/>
    <w:rsid w:val="00C71AC9"/>
    <w:rsid w:val="00C90282"/>
    <w:rsid w:val="00C90D01"/>
    <w:rsid w:val="00C9406A"/>
    <w:rsid w:val="00CB190A"/>
    <w:rsid w:val="00CB1E7F"/>
    <w:rsid w:val="00CC410B"/>
    <w:rsid w:val="00CC704C"/>
    <w:rsid w:val="00CD4AA0"/>
    <w:rsid w:val="00CD4F33"/>
    <w:rsid w:val="00CD63AA"/>
    <w:rsid w:val="00CE237B"/>
    <w:rsid w:val="00CE2B47"/>
    <w:rsid w:val="00CF76E3"/>
    <w:rsid w:val="00D012D9"/>
    <w:rsid w:val="00D21CD8"/>
    <w:rsid w:val="00D3459B"/>
    <w:rsid w:val="00D37621"/>
    <w:rsid w:val="00D4229F"/>
    <w:rsid w:val="00D50446"/>
    <w:rsid w:val="00D513CF"/>
    <w:rsid w:val="00D7264F"/>
    <w:rsid w:val="00D73181"/>
    <w:rsid w:val="00D7473C"/>
    <w:rsid w:val="00D754B1"/>
    <w:rsid w:val="00D825C2"/>
    <w:rsid w:val="00D866B3"/>
    <w:rsid w:val="00D90E7F"/>
    <w:rsid w:val="00DB3D40"/>
    <w:rsid w:val="00DB6486"/>
    <w:rsid w:val="00DC0F3D"/>
    <w:rsid w:val="00DE0D91"/>
    <w:rsid w:val="00DE5969"/>
    <w:rsid w:val="00DE611C"/>
    <w:rsid w:val="00E02119"/>
    <w:rsid w:val="00E178F6"/>
    <w:rsid w:val="00E315DA"/>
    <w:rsid w:val="00E31621"/>
    <w:rsid w:val="00E46AFE"/>
    <w:rsid w:val="00E51D2B"/>
    <w:rsid w:val="00E530DB"/>
    <w:rsid w:val="00E531A5"/>
    <w:rsid w:val="00E6257C"/>
    <w:rsid w:val="00E73FA5"/>
    <w:rsid w:val="00E80779"/>
    <w:rsid w:val="00E91AC2"/>
    <w:rsid w:val="00E97706"/>
    <w:rsid w:val="00EC5CB7"/>
    <w:rsid w:val="00ED1F35"/>
    <w:rsid w:val="00EE0C94"/>
    <w:rsid w:val="00EE2019"/>
    <w:rsid w:val="00EE21DE"/>
    <w:rsid w:val="00EE4F0E"/>
    <w:rsid w:val="00EE5376"/>
    <w:rsid w:val="00EF3114"/>
    <w:rsid w:val="00EF48FC"/>
    <w:rsid w:val="00F041E6"/>
    <w:rsid w:val="00F05407"/>
    <w:rsid w:val="00F37EFC"/>
    <w:rsid w:val="00F40829"/>
    <w:rsid w:val="00F42CE5"/>
    <w:rsid w:val="00F501F9"/>
    <w:rsid w:val="00F529A7"/>
    <w:rsid w:val="00F54DD8"/>
    <w:rsid w:val="00F75EB5"/>
    <w:rsid w:val="00F76FE6"/>
    <w:rsid w:val="00F8162B"/>
    <w:rsid w:val="00F95655"/>
    <w:rsid w:val="00FA23CA"/>
    <w:rsid w:val="00FB0B1D"/>
    <w:rsid w:val="00FC3076"/>
    <w:rsid w:val="00FC4513"/>
    <w:rsid w:val="00FD3993"/>
    <w:rsid w:val="00FD643B"/>
    <w:rsid w:val="00FE45EB"/>
    <w:rsid w:val="00FE4843"/>
    <w:rsid w:val="00FE5126"/>
    <w:rsid w:val="200EB137"/>
    <w:rsid w:val="7A4CAC84"/>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570451"/>
  <w15:chartTrackingRefBased/>
  <w15:docId w15:val="{8FA5C8E4-E269-4503-A7F9-8BB967C0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661F93"/>
    <w:rPr>
      <w:sz w:val="28"/>
      <w:szCs w:val="24"/>
      <w:lang w:val="en-US" w:eastAsia="en-US"/>
    </w:rPr>
  </w:style>
  <w:style w:type="character" w:styleId="HTMLCode">
    <w:name w:val="HTML Code"/>
    <w:uiPriority w:val="99"/>
    <w:unhideWhenUsed/>
    <w:rsid w:val="000573DE"/>
    <w:rPr>
      <w:rFonts w:ascii="Courier New" w:eastAsia="Times New Roman" w:hAnsi="Courier New" w:cs="Courier New"/>
      <w:sz w:val="20"/>
      <w:szCs w:val="20"/>
    </w:rPr>
  </w:style>
  <w:style w:type="character" w:styleId="Emphasis">
    <w:name w:val="Emphasis"/>
    <w:uiPriority w:val="20"/>
    <w:qFormat/>
    <w:rsid w:val="000573DE"/>
    <w:rPr>
      <w:i/>
      <w:iCs/>
    </w:rPr>
  </w:style>
  <w:style w:type="paragraph" w:styleId="HTMLPreformatted">
    <w:name w:val="HTML Preformatted"/>
    <w:basedOn w:val="Normal"/>
    <w:link w:val="HTMLPreformattedChar"/>
    <w:rsid w:val="00777100"/>
    <w:rPr>
      <w:rFonts w:ascii="Consolas" w:hAnsi="Consolas"/>
      <w:sz w:val="20"/>
      <w:szCs w:val="20"/>
    </w:rPr>
  </w:style>
  <w:style w:type="character" w:customStyle="1" w:styleId="HTMLPreformattedChar">
    <w:name w:val="HTML Preformatted Char"/>
    <w:basedOn w:val="DefaultParagraphFont"/>
    <w:link w:val="HTMLPreformatted"/>
    <w:rsid w:val="00777100"/>
    <w:rPr>
      <w:rFonts w:ascii="Consolas" w:hAnsi="Consolas"/>
      <w:lang w:val="en-US" w:eastAsia="en-US"/>
    </w:rPr>
  </w:style>
  <w:style w:type="character" w:customStyle="1" w:styleId="UnresolvedMention">
    <w:name w:val="Unresolved Mention"/>
    <w:basedOn w:val="DefaultParagraphFont"/>
    <w:uiPriority w:val="99"/>
    <w:semiHidden/>
    <w:unhideWhenUsed/>
    <w:rsid w:val="00BA0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1643608995">
      <w:bodyDiv w:val="1"/>
      <w:marLeft w:val="0"/>
      <w:marRight w:val="0"/>
      <w:marTop w:val="0"/>
      <w:marBottom w:val="0"/>
      <w:divBdr>
        <w:top w:val="none" w:sz="0" w:space="0" w:color="auto"/>
        <w:left w:val="none" w:sz="0" w:space="0" w:color="auto"/>
        <w:bottom w:val="none" w:sz="0" w:space="0" w:color="auto"/>
        <w:right w:val="none" w:sz="0" w:space="0" w:color="auto"/>
      </w:divBdr>
    </w:div>
    <w:div w:id="2015722951">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vbpl.vn/hanoi/pages/vbpq-timkiem.aspx?type=0&amp;s=1&amp;Keyword=33/2025/Q%C4%90-UBND&amp;SearchIn=Title,Title1&amp;IsRec=1&amp;pv=1" TargetMode="External" Type="http://schemas.openxmlformats.org/officeDocument/2006/relationships/hyperlink"/><Relationship Id="rId11" Target="header1.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2.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1FD1F07-3B74-4E41-B0DA-3DF180223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950</Words>
  <Characters>5415</Characters>
  <Application>Microsoft Office Word</Application>
  <DocSecurity>0</DocSecurity>
  <Lines>45</Lines>
  <Paragraphs>12</Paragraphs>
  <ScaleCrop>false</ScaleCrop>
  <Company>Truong</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2026-04-22T06:56:00Z</dcterms:created>
  <dc:creator>PC Thien IT</dc:creator>
  <cp:lastModifiedBy>Toàn Phạm</cp:lastModifiedBy>
  <dcterms:modified xsi:type="dcterms:W3CDTF">2026-06-09T01:51:00Z</dcterms:modified>
  <cp:revision>55</cp:revision>
  <dc:title>DỰ KIẾN PHÂN CÔNG RÀ SOÁT VĂN BẢN QUY PHẠM PHÁP LUẬT</dc:title>
</cp:coreProperties>
</file>